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33" w:rsidRPr="009A2C33" w:rsidRDefault="009A2C33" w:rsidP="009A2C33">
      <w:pPr>
        <w:pStyle w:val="Naslov"/>
        <w:jc w:val="center"/>
        <w:rPr>
          <w:rFonts w:eastAsia="Times New Roman"/>
          <w:lang w:eastAsia="sr-Latn-RS"/>
        </w:rPr>
      </w:pPr>
      <w:r w:rsidRPr="009A2C33">
        <w:rPr>
          <w:rFonts w:eastAsia="Times New Roman"/>
          <w:lang w:eastAsia="sr-Latn-RS"/>
        </w:rPr>
        <w:t>UREDBA</w:t>
      </w:r>
    </w:p>
    <w:p w:rsidR="009A2C33" w:rsidRPr="009A2C33" w:rsidRDefault="009A2C33" w:rsidP="009A2C33">
      <w:pPr>
        <w:pStyle w:val="Naslov"/>
        <w:jc w:val="center"/>
        <w:rPr>
          <w:rFonts w:eastAsia="Times New Roman"/>
          <w:lang w:eastAsia="sr-Latn-RS"/>
        </w:rPr>
      </w:pPr>
      <w:r w:rsidRPr="009A2C33">
        <w:rPr>
          <w:rFonts w:eastAsia="Times New Roman"/>
          <w:lang w:eastAsia="sr-Latn-RS"/>
        </w:rPr>
        <w:t>O GRANIČNIM VREDNOSTIMA PRIORITETNIH I PRIORITETNIH HAZARDNIH SUPSTANCI KOJE ZAGAĐUJU POVRŠINSKE VODE I ROKOVIMA ZA NJIHOVO DOSTIZANJE</w:t>
      </w:r>
    </w:p>
    <w:p w:rsidR="00A74BCE" w:rsidRDefault="009A2C33" w:rsidP="009A2C33">
      <w:pPr>
        <w:pStyle w:val="Podnaslov"/>
        <w:numPr>
          <w:ilvl w:val="0"/>
          <w:numId w:val="0"/>
        </w:numPr>
        <w:jc w:val="center"/>
        <w:rPr>
          <w:rFonts w:eastAsia="Times New Roman"/>
          <w:lang w:eastAsia="sr-Latn-RS"/>
        </w:rPr>
      </w:pPr>
      <w:r w:rsidRPr="009A2C33">
        <w:rPr>
          <w:rFonts w:eastAsia="Times New Roman"/>
          <w:lang w:eastAsia="sr-Latn-RS"/>
        </w:rPr>
        <w:t>("Sl. glasnik RS", br. 24/2014)</w:t>
      </w:r>
    </w:p>
    <w:p w:rsidR="009A2C33" w:rsidRPr="009A2C33" w:rsidRDefault="009A2C33" w:rsidP="009A2C33">
      <w:pPr>
        <w:rPr>
          <w:lang w:eastAsia="sr-Latn-RS"/>
        </w:rPr>
      </w:pPr>
      <w:bookmarkStart w:id="0" w:name="_GoBack"/>
      <w:bookmarkEnd w:id="0"/>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1" w:name="clan_1"/>
      <w:bookmarkEnd w:id="1"/>
      <w:r w:rsidRPr="00AC3BCE">
        <w:rPr>
          <w:rFonts w:ascii="Arial" w:eastAsia="Times New Roman" w:hAnsi="Arial" w:cs="Arial"/>
          <w:b/>
          <w:bCs/>
          <w:sz w:val="24"/>
          <w:szCs w:val="24"/>
          <w:lang w:eastAsia="sr-Latn-RS"/>
        </w:rPr>
        <w:t xml:space="preserve">Član 1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Ovom uredbom utvrđuju se granične vrednosti za prioritetne i prioritetne hazardne supstance (u daljem tekstu: prioritetne supstance) u površinskim vodama i rokovi za njihovo dostizanje.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Granične vrednosti za prioritetne i prioritetne hazardne supstance u površinskim vodama iz stava 1. ovog člana, date su u Prilogu - Granične vrednosti za prioritetne i prioritetne hazardne supstance u površinskim vodama - standardi kvaliteta životne sredine za prioritetne i prioritetne hazardne supstance u površinskim vodama i primena SKŽS (u daljem tekstu: Prilog), koji je odštampan uz ovu uredbu i čini njen sastavni deo.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2" w:name="clan_2"/>
      <w:bookmarkEnd w:id="2"/>
      <w:r w:rsidRPr="00AC3BCE">
        <w:rPr>
          <w:rFonts w:ascii="Arial" w:eastAsia="Times New Roman" w:hAnsi="Arial" w:cs="Arial"/>
          <w:b/>
          <w:bCs/>
          <w:sz w:val="24"/>
          <w:szCs w:val="24"/>
          <w:lang w:eastAsia="sr-Latn-RS"/>
        </w:rPr>
        <w:t xml:space="preserve">Član 2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Pojedini izrazi upotrebljeni u ovoj uredbi imaju sledeće značenje: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 </w:t>
      </w:r>
      <w:r w:rsidRPr="00AC3BCE">
        <w:rPr>
          <w:rFonts w:ascii="Arial" w:eastAsia="Times New Roman" w:hAnsi="Arial" w:cs="Arial"/>
          <w:i/>
          <w:iCs/>
          <w:lang w:eastAsia="sr-Latn-RS"/>
        </w:rPr>
        <w:t>granica detekcije</w:t>
      </w:r>
      <w:r w:rsidRPr="00AC3BCE">
        <w:rPr>
          <w:rFonts w:ascii="Arial" w:eastAsia="Times New Roman" w:hAnsi="Arial" w:cs="Arial"/>
          <w:lang w:eastAsia="sr-Latn-RS"/>
        </w:rPr>
        <w:t xml:space="preserve"> je izlazni signal na mernom uređaju ili vrednost koncentracije iznad koje se može detektovati, uz navođenje stepena sigurnosti, da se uzorak razlikuje od slepe probe koja ne sadrži parametar koji se meri, ali se on ne može kvantifikovati;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2) </w:t>
      </w:r>
      <w:r w:rsidRPr="00AC3BCE">
        <w:rPr>
          <w:rFonts w:ascii="Arial" w:eastAsia="Times New Roman" w:hAnsi="Arial" w:cs="Arial"/>
          <w:i/>
          <w:iCs/>
          <w:lang w:eastAsia="sr-Latn-RS"/>
        </w:rPr>
        <w:t>granica kvantifikacije</w:t>
      </w:r>
      <w:r w:rsidRPr="00AC3BCE">
        <w:rPr>
          <w:rFonts w:ascii="Arial" w:eastAsia="Times New Roman" w:hAnsi="Arial" w:cs="Arial"/>
          <w:lang w:eastAsia="sr-Latn-RS"/>
        </w:rPr>
        <w:t xml:space="preserve"> je minimalna koncentracija supstance koja se može kvantifikovati sa prihvatljivim stepenom tačnosti i preciznosti. Granica kvantifikacije se može izračunati upotrebom odgovarajućeg standarda ili uzorka i može se dobiti iz najniže kalibracione tačke na kalibracionoj krivi, ne uzimajući u obzir slepu probu;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3) </w:t>
      </w:r>
      <w:r w:rsidRPr="00AC3BCE">
        <w:rPr>
          <w:rFonts w:ascii="Arial" w:eastAsia="Times New Roman" w:hAnsi="Arial" w:cs="Arial"/>
          <w:i/>
          <w:iCs/>
          <w:lang w:eastAsia="sr-Latn-RS"/>
        </w:rPr>
        <w:t>emisija</w:t>
      </w:r>
      <w:r w:rsidRPr="00AC3BCE">
        <w:rPr>
          <w:rFonts w:ascii="Arial" w:eastAsia="Times New Roman" w:hAnsi="Arial" w:cs="Arial"/>
          <w:lang w:eastAsia="sr-Latn-RS"/>
        </w:rPr>
        <w:t xml:space="preserve"> je ispuštanje prioritetnih supstanci iz izvora zagađivanja u površinske vode;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4) </w:t>
      </w:r>
      <w:r w:rsidRPr="00AC3BCE">
        <w:rPr>
          <w:rFonts w:ascii="Arial" w:eastAsia="Times New Roman" w:hAnsi="Arial" w:cs="Arial"/>
          <w:i/>
          <w:iCs/>
          <w:lang w:eastAsia="sr-Latn-RS"/>
        </w:rPr>
        <w:t>zona mešanja</w:t>
      </w:r>
      <w:r w:rsidRPr="00AC3BCE">
        <w:rPr>
          <w:rFonts w:ascii="Arial" w:eastAsia="Times New Roman" w:hAnsi="Arial" w:cs="Arial"/>
          <w:lang w:eastAsia="sr-Latn-RS"/>
        </w:rPr>
        <w:t xml:space="preserve"> je zona površinske vode koja se nalazi u blizini mesta ispuštanja, odnosno emisije pojedinačnih prioritetnih supstanci iz tačkastih izvora zagađivanja u kojoj dolazi do njihovog razblaživanja i mešanja sa vodom prijemnika i u okviru čije granice koncentracija datih supstanci može da prekorači vrednosti za standard kvaliteta životne sredine;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5) </w:t>
      </w:r>
      <w:r w:rsidRPr="00AC3BCE">
        <w:rPr>
          <w:rFonts w:ascii="Arial" w:eastAsia="Times New Roman" w:hAnsi="Arial" w:cs="Arial"/>
          <w:i/>
          <w:iCs/>
          <w:lang w:eastAsia="sr-Latn-RS"/>
        </w:rPr>
        <w:t>maksimalna dozvoljena koncentracija</w:t>
      </w:r>
      <w:r w:rsidRPr="00AC3BCE">
        <w:rPr>
          <w:rFonts w:ascii="Arial" w:eastAsia="Times New Roman" w:hAnsi="Arial" w:cs="Arial"/>
          <w:lang w:eastAsia="sr-Latn-RS"/>
        </w:rPr>
        <w:t xml:space="preserve"> je maksimalna koncentracija pojedinačne prioritetne supstance ili grupe prioritetnih supstanci iz Priloga na svakom mernom mestu monitoringa, </w:t>
      </w:r>
      <w:r w:rsidRPr="00AC3BCE">
        <w:rPr>
          <w:rFonts w:ascii="Arial" w:eastAsia="Times New Roman" w:hAnsi="Arial" w:cs="Arial"/>
          <w:lang w:eastAsia="sr-Latn-RS"/>
        </w:rPr>
        <w:lastRenderedPageBreak/>
        <w:t xml:space="preserve">koja ne može da se prekorači za površinske vode u celini radi izbegavanja ozbiljnih nepovratnih kratkoročnih posledica za ekosisteme. Ukoliko su rezultati merenja za pojedine prioritetne supstance na svakom mernom mestu monitoringa u površinskim vodama ispod granice kvantifikacije ili su niže od vrednosti maksimalnih dozvoljenih koncentracija datih u Prilogu, uzima se da je ta vrednost nova vrednost maksimalno dozvoljene koncentracije za tu prioritetnu supstancu;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6) </w:t>
      </w:r>
      <w:r w:rsidRPr="00AC3BCE">
        <w:rPr>
          <w:rFonts w:ascii="Arial" w:eastAsia="Times New Roman" w:hAnsi="Arial" w:cs="Arial"/>
          <w:i/>
          <w:iCs/>
          <w:lang w:eastAsia="sr-Latn-RS"/>
        </w:rPr>
        <w:t>merna nesigurnost</w:t>
      </w:r>
      <w:r w:rsidRPr="00AC3BCE">
        <w:rPr>
          <w:rFonts w:ascii="Arial" w:eastAsia="Times New Roman" w:hAnsi="Arial" w:cs="Arial"/>
          <w:lang w:eastAsia="sr-Latn-RS"/>
        </w:rPr>
        <w:t xml:space="preserve"> je parametar koji nije negativan, a karakteriše ga rasipanje kvantitativnih vrednosti koje se pripisuju merenoj veličini na osnovu upotrebljenih informacija;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7) </w:t>
      </w:r>
      <w:r w:rsidRPr="00AC3BCE">
        <w:rPr>
          <w:rFonts w:ascii="Arial" w:eastAsia="Times New Roman" w:hAnsi="Arial" w:cs="Arial"/>
          <w:i/>
          <w:iCs/>
          <w:lang w:eastAsia="sr-Latn-RS"/>
        </w:rPr>
        <w:t>mesto ispuštanja</w:t>
      </w:r>
      <w:r w:rsidRPr="00AC3BCE">
        <w:rPr>
          <w:rFonts w:ascii="Arial" w:eastAsia="Times New Roman" w:hAnsi="Arial" w:cs="Arial"/>
          <w:lang w:eastAsia="sr-Latn-RS"/>
        </w:rPr>
        <w:t xml:space="preserve"> je mesto utvrđeno geografskim koordinatama na kome se otpadne vode koje sadrže pojedinačne prioritetne supstance ispuštaju u površinske vode;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8) </w:t>
      </w:r>
      <w:r w:rsidRPr="00AC3BCE">
        <w:rPr>
          <w:rFonts w:ascii="Arial" w:eastAsia="Times New Roman" w:hAnsi="Arial" w:cs="Arial"/>
          <w:i/>
          <w:iCs/>
          <w:lang w:eastAsia="sr-Latn-RS"/>
        </w:rPr>
        <w:t>osnovni (nulti) nivo</w:t>
      </w:r>
      <w:r w:rsidRPr="00AC3BCE">
        <w:rPr>
          <w:rFonts w:ascii="Arial" w:eastAsia="Times New Roman" w:hAnsi="Arial" w:cs="Arial"/>
          <w:lang w:eastAsia="sr-Latn-RS"/>
        </w:rPr>
        <w:t xml:space="preserve"> je prosečna vrednost parametra u površinskim vodama merena svake godine u vremenskom periodu od najmanje 3 godine;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9) </w:t>
      </w:r>
      <w:r w:rsidRPr="00AC3BCE">
        <w:rPr>
          <w:rFonts w:ascii="Arial" w:eastAsia="Times New Roman" w:hAnsi="Arial" w:cs="Arial"/>
          <w:i/>
          <w:iCs/>
          <w:lang w:eastAsia="sr-Latn-RS"/>
        </w:rPr>
        <w:t>prosečna godišnja koncentracija</w:t>
      </w:r>
      <w:r w:rsidRPr="00AC3BCE">
        <w:rPr>
          <w:rFonts w:ascii="Arial" w:eastAsia="Times New Roman" w:hAnsi="Arial" w:cs="Arial"/>
          <w:lang w:eastAsia="sr-Latn-RS"/>
        </w:rPr>
        <w:t xml:space="preserve"> je prosečna vrednost koncentracije pojedine prioritetne supstance ili grupe prioritetnih supstanci iz Priloga izmerenih u različitim vremenima u toku godine za svako reprezentativno merno mesto monitoringa u vodnom telu površinske vode koja ne može da se prekorači radi izbegavanja ozbiljnih nepovratnih dugoročnih posledica za ekosisteme u površinskim vodama;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10) </w:t>
      </w:r>
      <w:r w:rsidRPr="00AC3BCE">
        <w:rPr>
          <w:rFonts w:ascii="Arial" w:eastAsia="Times New Roman" w:hAnsi="Arial" w:cs="Arial"/>
          <w:i/>
          <w:iCs/>
          <w:lang w:eastAsia="sr-Latn-RS"/>
        </w:rPr>
        <w:t>standard kvaliteta životne sredine za površinske vode</w:t>
      </w:r>
      <w:r w:rsidRPr="00AC3BCE">
        <w:rPr>
          <w:rFonts w:ascii="Arial" w:eastAsia="Times New Roman" w:hAnsi="Arial" w:cs="Arial"/>
          <w:lang w:eastAsia="sr-Latn-RS"/>
        </w:rPr>
        <w:t xml:space="preserve"> je koncentracija pojedinačne prioritetne supstance ili grupe prioritetnih supstanci u površinskim vodama, koja ne može da bude prekoračena u cilju zaštite životne sredine i zdravlja ljudi. Standard kvaliteta životne sredine se vezuje za maksimalno dozvoljenu koncentraciju i/ili za vrednosti prosečnih godišnjih koncentracija prioritetnih supstanci. Standardi kvaliteta životne sredine su izraženi kao ukupne koncentracije u celom uzorku vode, izuzev u slučaju kadmijuma, olova, žive i nikla (u daljem tekstu: metali), kada se odnose na rastvorenu koncentraciju, tj. rastvorenu fazu uzorka vode dobijenu filtracijom kroz 0,45μm filter ili nekim drugim ekvivalentnim predtretmanom ili, gde je posebno naznačeno, na biodostupne koncentracije.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3" w:name="clan_3"/>
      <w:bookmarkEnd w:id="3"/>
      <w:r w:rsidRPr="00AC3BCE">
        <w:rPr>
          <w:rFonts w:ascii="Arial" w:eastAsia="Times New Roman" w:hAnsi="Arial" w:cs="Arial"/>
          <w:b/>
          <w:bCs/>
          <w:sz w:val="24"/>
          <w:szCs w:val="24"/>
          <w:lang w:eastAsia="sr-Latn-RS"/>
        </w:rPr>
        <w:t xml:space="preserve">Član 3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Standardi kvaliteta životne sredine za površinske vode za prvu grupu prioritetnih supstanci dati su u Prilogu - 1. Standardi kvaliteta životne sredine, Tabela 1. - SKŽS za prvu grupu prioritetnih supstanci.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Standardi kvaliteta životne sredine za površinske vode za drugu grupu prioritetnih supstanci dati su u Prilogu - 1. Standardi kvaliteta životne sredine, Tabela 2. - SKŽS za drugu grupu prioritetnih supstanci.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Primena standarda kvaliteta životne sredine iz st. 1. i 2. ovog člana vrši se na način koji je dat u Prilogu - 2. Primena SKŽS.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4" w:name="clan_4"/>
      <w:bookmarkEnd w:id="4"/>
      <w:r w:rsidRPr="00AC3BCE">
        <w:rPr>
          <w:rFonts w:ascii="Arial" w:eastAsia="Times New Roman" w:hAnsi="Arial" w:cs="Arial"/>
          <w:b/>
          <w:bCs/>
          <w:sz w:val="24"/>
          <w:szCs w:val="24"/>
          <w:lang w:eastAsia="sr-Latn-RS"/>
        </w:rPr>
        <w:t xml:space="preserve">Član 4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Standardi kvaliteta životne sredine za površinske vode postižu se: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 smanjivanjem godišnjih nivoa emisije prioritetnih supstanci i prestankom emitovanja prioritetnih supstanci u površinske vode;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lastRenderedPageBreak/>
        <w:t xml:space="preserve">2) smanjivanjem koncentracije prioritetnih hazardnih supstanci do njihovog potpunog eliminisanja iz površinskih voda.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5" w:name="clan_5"/>
      <w:bookmarkEnd w:id="5"/>
      <w:r w:rsidRPr="00AC3BCE">
        <w:rPr>
          <w:rFonts w:ascii="Arial" w:eastAsia="Times New Roman" w:hAnsi="Arial" w:cs="Arial"/>
          <w:b/>
          <w:bCs/>
          <w:sz w:val="24"/>
          <w:szCs w:val="24"/>
          <w:lang w:eastAsia="sr-Latn-RS"/>
        </w:rPr>
        <w:t xml:space="preserve">Član 5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Usklađivanje sa standardima kvaliteta životne sredine vrši se na osnovu rezultata monitoringa osnovnog (nultog) nivoa i monitoringa prioritetnih supstanci koji se sprovode primenom metoda u skladu sa SRPS ISO/IEC-17025:2006 standardom.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Monitoring osnovnog (nultog) nivoa prioritetnih supstanci vrši se svake godine u periodu od tri godine od momenta otpočinjanja monitoringa.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Metode iz stava 1. ovog člana moraju da zadovoljavaju minimalne kriterijume: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 mernu nesigurnost od 50% ili niže (k=2), procenjeno u odnosu na nivo relevantnog standarda kvaliteta životne sredine 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2) granicu detekcije koja je jednaka vrednosti od 30% relevantnog standarda kvaliteta životne sredine ili niža od te vrednosti.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Sprovođenje monitoringa u nedostatku metode iz stava 1. ovog člana koja se odnosi na analizu prioritetnih supstanci, vrši se korišćenjem najboljih dostupnih tehnika koje ne zahtevaju dodatne troškove.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Najbolje dostupne tehnike iz stava 4. ovog člana primenjuju se i u nedostatku odgovarajućeg standarda kvaliteta životne sredine za dati parametar.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6" w:name="clan_6"/>
      <w:bookmarkEnd w:id="6"/>
      <w:r w:rsidRPr="00AC3BCE">
        <w:rPr>
          <w:rFonts w:ascii="Arial" w:eastAsia="Times New Roman" w:hAnsi="Arial" w:cs="Arial"/>
          <w:b/>
          <w:bCs/>
          <w:sz w:val="24"/>
          <w:szCs w:val="24"/>
          <w:lang w:eastAsia="sr-Latn-RS"/>
        </w:rPr>
        <w:t xml:space="preserve">Član 6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Standardi kvaliteta životne sredine za površinske vode mogu biti prekoračeni unutar zone mešanja ako prekoračene koncentracije ne utiču na usklađenost ostatka vodnog tela površinske vode sa tim standardima.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Zone mešanja iz stava 1. ovog člana određuju se na način kojim se obezbeđuje da je njihovo prostiranje: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 ograničeno na mesto ispuštanja;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2) proporcionalno koncentraciji prisutnih prioritetnih supstanci na mestu ispuštanja i uslovima emisije prioritetnih supstanci sadržanih u dozvolama, koje se izdaju u skladu sa zakonom kojim se uređuje integrisano sprečavanje i kontrola zagađivanja životne sredine i zakonom kojim se uređuju vode.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Granica zone mešanja iz stava 1. ovog člana je udaljenost od tačke ispuštanja na kojoj je završeno 95% mešanja ispuštene otpadne vode koja sadrži prioritetne supstance sa vodom prijemnika.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7" w:name="clan_7"/>
      <w:bookmarkEnd w:id="7"/>
      <w:r w:rsidRPr="00AC3BCE">
        <w:rPr>
          <w:rFonts w:ascii="Arial" w:eastAsia="Times New Roman" w:hAnsi="Arial" w:cs="Arial"/>
          <w:b/>
          <w:bCs/>
          <w:sz w:val="24"/>
          <w:szCs w:val="24"/>
          <w:lang w:eastAsia="sr-Latn-RS"/>
        </w:rPr>
        <w:t xml:space="preserve">Član 7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Standardi kvaliteta životne sredine za površinske vode mogu biti prekoračeni ako: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 je uzrok prekoračenja izvor zagađenja koji se nalazi izvan granica Republike Srbije;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lastRenderedPageBreak/>
        <w:t xml:space="preserve">2) usled prekograničnog zagađenja nije bilo moguće preduzeti efikasne mere radi usaglašavanja sa relevantnim standardima kvaliteta životne sredine;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3) su primenjeni svi mehanizmi i mere dati u Planu zaštite voda od zagađivanja koji obuhvata vodno telo koje je pod uticajem prekograničnog zagađenja.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8" w:name="clan_8"/>
      <w:bookmarkEnd w:id="8"/>
      <w:r w:rsidRPr="00AC3BCE">
        <w:rPr>
          <w:rFonts w:ascii="Arial" w:eastAsia="Times New Roman" w:hAnsi="Arial" w:cs="Arial"/>
          <w:b/>
          <w:bCs/>
          <w:sz w:val="24"/>
          <w:szCs w:val="24"/>
          <w:lang w:eastAsia="sr-Latn-RS"/>
        </w:rPr>
        <w:t xml:space="preserve">Član 8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Stroži standardi kvaliteta životne sredine od standarda datih u Prilogu - 1. Standardi kvaliteta životne sredine utvrđuju se za određene zaštićene oblasti na vodnom području koje se propisuju u skladu sa zakonom kojim se uređuju vode.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9" w:name="clan_9"/>
      <w:bookmarkEnd w:id="9"/>
      <w:r w:rsidRPr="00AC3BCE">
        <w:rPr>
          <w:rFonts w:ascii="Arial" w:eastAsia="Times New Roman" w:hAnsi="Arial" w:cs="Arial"/>
          <w:b/>
          <w:bCs/>
          <w:sz w:val="24"/>
          <w:szCs w:val="24"/>
          <w:lang w:eastAsia="sr-Latn-RS"/>
        </w:rPr>
        <w:t xml:space="preserve">Član 9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Monitoring osnovnog (nultog) nivoa i monitoring prioritetnih supstanci iz člana 3. stav 1. ove uredbe sprovodi se od dana stupanja na snagu ove uredbe.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Monitoring osnovnog (nultog) nivoa i monitoring prioritetnih supstanci iz člana 3. stav 2. ove uredbe otpočinje sa sprovođenjem najkasnije od 2018. godine.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10" w:name="clan_10"/>
      <w:bookmarkEnd w:id="10"/>
      <w:r w:rsidRPr="00AC3BCE">
        <w:rPr>
          <w:rFonts w:ascii="Arial" w:eastAsia="Times New Roman" w:hAnsi="Arial" w:cs="Arial"/>
          <w:b/>
          <w:bCs/>
          <w:sz w:val="24"/>
          <w:szCs w:val="24"/>
          <w:lang w:eastAsia="sr-Latn-RS"/>
        </w:rPr>
        <w:t xml:space="preserve">Član 10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Pravno lice i preduzetnik koji ispušta prioritetne supstance u površinske vode uskladiće svoje emisije sa standardima kvaliteta životne sredine u skladu sa rokovima datim u Planu zaštite voda od zagađivanja.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Vlada bliže utvrđuje rokove za usklađivanje emisije sa standardima kvaliteta životne sredine za lica iz stava 1. ovog člana nakon sprovedenog monitoringa osnovnog (nultog) nivoa prioritetnih supstanci iz člana 5. stav 1. ove uredbe.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11" w:name="clan_11"/>
      <w:bookmarkEnd w:id="11"/>
      <w:r w:rsidRPr="00AC3BCE">
        <w:rPr>
          <w:rFonts w:ascii="Arial" w:eastAsia="Times New Roman" w:hAnsi="Arial" w:cs="Arial"/>
          <w:b/>
          <w:bCs/>
          <w:sz w:val="24"/>
          <w:szCs w:val="24"/>
          <w:lang w:eastAsia="sr-Latn-RS"/>
        </w:rPr>
        <w:t xml:space="preserve">Član 11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Danom stupanja na snagu ove uredbe prestaje da važi Uredba o graničnim vrednostima prioritetnih i prioritetnih hazardnih supstanci koje zagađuju površinske vode i rokovima za njihovo dostizanje ("Službeni glasnik RS", broj 35/11). </w:t>
      </w:r>
    </w:p>
    <w:p w:rsidR="00AC3BCE" w:rsidRPr="00AC3BCE" w:rsidRDefault="00AC3BCE" w:rsidP="00AC3BCE">
      <w:pPr>
        <w:spacing w:before="240" w:after="120" w:line="240" w:lineRule="auto"/>
        <w:jc w:val="center"/>
        <w:rPr>
          <w:rFonts w:ascii="Arial" w:eastAsia="Times New Roman" w:hAnsi="Arial" w:cs="Arial"/>
          <w:b/>
          <w:bCs/>
          <w:sz w:val="24"/>
          <w:szCs w:val="24"/>
          <w:lang w:eastAsia="sr-Latn-RS"/>
        </w:rPr>
      </w:pPr>
      <w:bookmarkStart w:id="12" w:name="clan_12"/>
      <w:bookmarkEnd w:id="12"/>
      <w:r w:rsidRPr="00AC3BCE">
        <w:rPr>
          <w:rFonts w:ascii="Arial" w:eastAsia="Times New Roman" w:hAnsi="Arial" w:cs="Arial"/>
          <w:b/>
          <w:bCs/>
          <w:sz w:val="24"/>
          <w:szCs w:val="24"/>
          <w:lang w:eastAsia="sr-Latn-RS"/>
        </w:rPr>
        <w:t xml:space="preserve">Član 12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Ova uredba stupa na snagu osmog dana od dana objavljivanja u "Službenom glasniku Republike Srbije". </w:t>
      </w:r>
    </w:p>
    <w:p w:rsidR="00AC3BCE" w:rsidRPr="00AC3BCE" w:rsidRDefault="00AC3BCE" w:rsidP="00AC3BCE">
      <w:pPr>
        <w:spacing w:after="0" w:line="240" w:lineRule="auto"/>
        <w:jc w:val="center"/>
        <w:rPr>
          <w:rFonts w:ascii="Arial" w:eastAsia="Times New Roman" w:hAnsi="Arial" w:cs="Arial"/>
          <w:b/>
          <w:bCs/>
          <w:sz w:val="31"/>
          <w:szCs w:val="31"/>
          <w:lang w:eastAsia="sr-Latn-RS"/>
        </w:rPr>
      </w:pPr>
      <w:bookmarkStart w:id="13" w:name="str_1"/>
      <w:bookmarkEnd w:id="13"/>
      <w:r w:rsidRPr="00AC3BCE">
        <w:rPr>
          <w:rFonts w:ascii="Arial" w:eastAsia="Times New Roman" w:hAnsi="Arial" w:cs="Arial"/>
          <w:b/>
          <w:bCs/>
          <w:sz w:val="31"/>
          <w:szCs w:val="31"/>
          <w:lang w:eastAsia="sr-Latn-RS"/>
        </w:rPr>
        <w:t xml:space="preserve">Prilog </w:t>
      </w:r>
    </w:p>
    <w:p w:rsidR="00AC3BCE" w:rsidRPr="00AC3BCE" w:rsidRDefault="00AC3BCE" w:rsidP="00AC3BCE">
      <w:pPr>
        <w:spacing w:after="0" w:line="240" w:lineRule="auto"/>
        <w:jc w:val="center"/>
        <w:rPr>
          <w:rFonts w:ascii="Arial" w:eastAsia="Times New Roman" w:hAnsi="Arial" w:cs="Arial"/>
          <w:b/>
          <w:bCs/>
          <w:sz w:val="31"/>
          <w:szCs w:val="31"/>
          <w:lang w:eastAsia="sr-Latn-RS"/>
        </w:rPr>
      </w:pPr>
      <w:bookmarkStart w:id="14" w:name="str_2"/>
      <w:bookmarkEnd w:id="14"/>
      <w:r w:rsidRPr="00AC3BCE">
        <w:rPr>
          <w:rFonts w:ascii="Arial" w:eastAsia="Times New Roman" w:hAnsi="Arial" w:cs="Arial"/>
          <w:b/>
          <w:bCs/>
          <w:sz w:val="31"/>
          <w:szCs w:val="31"/>
          <w:lang w:eastAsia="sr-Latn-RS"/>
        </w:rPr>
        <w:t xml:space="preserve">GRANIČNE VREDNOSTI ZA PRIORITETNE I PRIORITETNE HAZARDNE SUPSTANCE U POVRŠINSKIM VODAMA - STANDARDI KVALITETA ŽIVOTNE SREDINE ZA PRIORITETNE I PRIORITETNE HAZARDNE SUPSTANCE U POVRŠINSKIM VODAMA I PRIMENA SKŽS </w:t>
      </w:r>
    </w:p>
    <w:p w:rsidR="00AC3BCE" w:rsidRPr="00AC3BCE" w:rsidRDefault="00AC3BCE" w:rsidP="00AC3BCE">
      <w:pPr>
        <w:spacing w:before="240" w:after="240" w:line="240" w:lineRule="auto"/>
        <w:jc w:val="center"/>
        <w:rPr>
          <w:rFonts w:ascii="Arial" w:eastAsia="Times New Roman" w:hAnsi="Arial" w:cs="Arial"/>
          <w:b/>
          <w:bCs/>
          <w:sz w:val="24"/>
          <w:szCs w:val="24"/>
          <w:lang w:eastAsia="sr-Latn-RS"/>
        </w:rPr>
      </w:pPr>
      <w:bookmarkStart w:id="15" w:name="str_3"/>
      <w:bookmarkEnd w:id="15"/>
      <w:r w:rsidRPr="00AC3BCE">
        <w:rPr>
          <w:rFonts w:ascii="Arial" w:eastAsia="Times New Roman" w:hAnsi="Arial" w:cs="Arial"/>
          <w:b/>
          <w:bCs/>
          <w:sz w:val="24"/>
          <w:szCs w:val="24"/>
          <w:lang w:eastAsia="sr-Latn-RS"/>
        </w:rPr>
        <w:t xml:space="preserve">1. Standardi kvaliteta životne sredine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lastRenderedPageBreak/>
        <w:t xml:space="preserve">Tabela 1. SKŽS za prvu grupu prioritetnih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0"/>
        <w:gridCol w:w="2781"/>
        <w:gridCol w:w="1395"/>
        <w:gridCol w:w="1411"/>
        <w:gridCol w:w="1420"/>
        <w:gridCol w:w="1645"/>
      </w:tblGrid>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Ime prioritetne supstance (PS)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Numerička identifikacija</w:t>
            </w:r>
            <w:r w:rsidRPr="00AC3BCE">
              <w:rPr>
                <w:rFonts w:ascii="Arial" w:eastAsia="Times New Roman" w:hAnsi="Arial" w:cs="Arial"/>
                <w:lang w:eastAsia="sr-Latn-RS"/>
              </w:rPr>
              <w:br/>
              <w:t>(CAS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Prioritetne hazardne supstance - (PHS)</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Prosečna godišnja </w:t>
            </w:r>
            <w:r w:rsidRPr="00AC3BCE">
              <w:rPr>
                <w:rFonts w:ascii="Arial" w:eastAsia="Times New Roman" w:hAnsi="Arial" w:cs="Arial"/>
                <w:lang w:eastAsia="sr-Latn-RS"/>
              </w:rPr>
              <w:br/>
              <w:t>koncentracija</w:t>
            </w:r>
            <w:r w:rsidRPr="00AC3BCE">
              <w:rPr>
                <w:rFonts w:ascii="Arial" w:eastAsia="Times New Roman" w:hAnsi="Arial" w:cs="Arial"/>
                <w:lang w:eastAsia="sr-Latn-RS"/>
              </w:rPr>
              <w:br/>
              <w:t>(PGK)</w:t>
            </w:r>
            <w:r w:rsidRPr="00AC3BCE">
              <w:rPr>
                <w:rFonts w:ascii="Arial" w:eastAsia="Times New Roman" w:hAnsi="Arial" w:cs="Arial"/>
                <w:lang w:eastAsia="sr-Latn-RS"/>
              </w:rPr>
              <w:br/>
              <w:t>(</w:t>
            </w:r>
            <w:r w:rsidRPr="00AC3BCE">
              <w:rPr>
                <w:rFonts w:ascii="Symbol" w:eastAsia="Times New Roman" w:hAnsi="Symbol" w:cs="Arial"/>
                <w:sz w:val="20"/>
                <w:szCs w:val="20"/>
                <w:lang w:eastAsia="sr-Latn-RS"/>
              </w:rPr>
              <w:t></w:t>
            </w:r>
            <w:r w:rsidRPr="00AC3BCE">
              <w:rPr>
                <w:rFonts w:ascii="Arial" w:eastAsia="Times New Roman" w:hAnsi="Arial" w:cs="Arial"/>
                <w:lang w:eastAsia="sr-Latn-RS"/>
              </w:rPr>
              <w:t>g/l)</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Maksimalno dozvoljena koncentracija</w:t>
            </w:r>
            <w:r w:rsidRPr="00AC3BCE">
              <w:rPr>
                <w:rFonts w:ascii="Arial" w:eastAsia="Times New Roman" w:hAnsi="Arial" w:cs="Arial"/>
                <w:lang w:eastAsia="sr-Latn-RS"/>
              </w:rPr>
              <w:br/>
              <w:t>(MDK)</w:t>
            </w:r>
            <w:r w:rsidRPr="00AC3BCE">
              <w:rPr>
                <w:rFonts w:ascii="Arial" w:eastAsia="Times New Roman" w:hAnsi="Arial" w:cs="Arial"/>
                <w:lang w:eastAsia="sr-Latn-RS"/>
              </w:rPr>
              <w:br/>
              <w:t>(</w:t>
            </w:r>
            <w:r w:rsidRPr="00AC3BCE">
              <w:rPr>
                <w:rFonts w:ascii="Symbol" w:eastAsia="Times New Roman" w:hAnsi="Symbol" w:cs="Arial"/>
                <w:sz w:val="20"/>
                <w:szCs w:val="20"/>
                <w:lang w:eastAsia="sr-Latn-RS"/>
              </w:rPr>
              <w:t></w:t>
            </w:r>
            <w:r w:rsidRPr="00AC3BCE">
              <w:rPr>
                <w:rFonts w:ascii="Arial" w:eastAsia="Times New Roman" w:hAnsi="Arial" w:cs="Arial"/>
                <w:lang w:eastAsia="sr-Latn-RS"/>
              </w:rPr>
              <w:t>g/l)</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Alahlor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15972-60-8</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0,7</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Antracen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120-12-7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0,1</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Atrazin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1912-24-9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2,0</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Kadmijum i njegova jedinjenja (u zavisnosti od klase tvrdoće vode)</w:t>
            </w:r>
            <w:r w:rsidRPr="00AC3BCE">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7440-43-9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&lt;0,08 (klasa 1)</w:t>
            </w:r>
            <w:r w:rsidRPr="00AC3BCE">
              <w:rPr>
                <w:rFonts w:ascii="Arial" w:eastAsia="Times New Roman" w:hAnsi="Arial" w:cs="Arial"/>
                <w:lang w:eastAsia="sr-Latn-RS"/>
              </w:rPr>
              <w:br/>
              <w:t>0,08 (klasa 2)</w:t>
            </w:r>
            <w:r w:rsidRPr="00AC3BCE">
              <w:rPr>
                <w:rFonts w:ascii="Arial" w:eastAsia="Times New Roman" w:hAnsi="Arial" w:cs="Arial"/>
                <w:lang w:eastAsia="sr-Latn-RS"/>
              </w:rPr>
              <w:br/>
              <w:t>0,09 (klasa 3)</w:t>
            </w:r>
            <w:r w:rsidRPr="00AC3BCE">
              <w:rPr>
                <w:rFonts w:ascii="Arial" w:eastAsia="Times New Roman" w:hAnsi="Arial" w:cs="Arial"/>
                <w:lang w:eastAsia="sr-Latn-RS"/>
              </w:rPr>
              <w:br/>
              <w:t>0,15 (klasa 4)</w:t>
            </w:r>
            <w:r w:rsidRPr="00AC3BCE">
              <w:rPr>
                <w:rFonts w:ascii="Arial" w:eastAsia="Times New Roman" w:hAnsi="Arial" w:cs="Arial"/>
                <w:lang w:eastAsia="sr-Latn-RS"/>
              </w:rPr>
              <w:br/>
              <w:t>0,25 (klasa 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&lt;0,45 (klasa 1)</w:t>
            </w:r>
            <w:r w:rsidRPr="00AC3BCE">
              <w:rPr>
                <w:rFonts w:ascii="Arial" w:eastAsia="Times New Roman" w:hAnsi="Arial" w:cs="Arial"/>
                <w:lang w:eastAsia="sr-Latn-RS"/>
              </w:rPr>
              <w:br/>
              <w:t>0,45 (klasa 2)</w:t>
            </w:r>
            <w:r w:rsidRPr="00AC3BCE">
              <w:rPr>
                <w:rFonts w:ascii="Arial" w:eastAsia="Times New Roman" w:hAnsi="Arial" w:cs="Arial"/>
                <w:lang w:eastAsia="sr-Latn-RS"/>
              </w:rPr>
              <w:br/>
              <w:t>0,6 (klasa 3)</w:t>
            </w:r>
            <w:r w:rsidRPr="00AC3BCE">
              <w:rPr>
                <w:rFonts w:ascii="Arial" w:eastAsia="Times New Roman" w:hAnsi="Arial" w:cs="Arial"/>
                <w:lang w:eastAsia="sr-Latn-RS"/>
              </w:rPr>
              <w:br/>
              <w:t>0,9 (klasa 4)</w:t>
            </w:r>
            <w:r w:rsidRPr="00AC3BCE">
              <w:rPr>
                <w:rFonts w:ascii="Arial" w:eastAsia="Times New Roman" w:hAnsi="Arial" w:cs="Arial"/>
                <w:lang w:eastAsia="sr-Latn-RS"/>
              </w:rPr>
              <w:br/>
              <w:t>1,5 (klasa 5)</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Hlorfenvinfos</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470-90-6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0,3</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Hlorpirifos (Hlorpirifos-etil)</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291-88-2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0,1</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7-10.</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Ciklodienski pesticidi:</w:t>
            </w:r>
            <w:r w:rsidRPr="00AC3BCE">
              <w:rPr>
                <w:rFonts w:ascii="Arial" w:eastAsia="Times New Roman" w:hAnsi="Arial" w:cs="Arial"/>
                <w:lang w:eastAsia="sr-Latn-RS"/>
              </w:rPr>
              <w:br/>
              <w:t>Aldrin</w:t>
            </w:r>
            <w:r w:rsidRPr="00AC3BCE">
              <w:rPr>
                <w:rFonts w:ascii="Arial" w:eastAsia="Times New Roman" w:hAnsi="Arial" w:cs="Arial"/>
                <w:b/>
                <w:bCs/>
                <w:sz w:val="15"/>
                <w:szCs w:val="15"/>
                <w:vertAlign w:val="superscript"/>
                <w:lang w:eastAsia="sr-Latn-RS"/>
              </w:rPr>
              <w:t>2</w:t>
            </w:r>
            <w:r w:rsidRPr="00AC3BCE">
              <w:rPr>
                <w:rFonts w:ascii="Arial" w:eastAsia="Times New Roman" w:hAnsi="Arial" w:cs="Arial"/>
                <w:lang w:eastAsia="sr-Latn-RS"/>
              </w:rPr>
              <w:br/>
              <w:t>Dieldrin</w:t>
            </w:r>
            <w:r w:rsidRPr="00AC3BCE">
              <w:rPr>
                <w:rFonts w:ascii="Arial" w:eastAsia="Times New Roman" w:hAnsi="Arial" w:cs="Arial"/>
                <w:b/>
                <w:bCs/>
                <w:sz w:val="15"/>
                <w:szCs w:val="15"/>
                <w:vertAlign w:val="superscript"/>
                <w:lang w:eastAsia="sr-Latn-RS"/>
              </w:rPr>
              <w:t>2</w:t>
            </w:r>
            <w:r w:rsidRPr="00AC3BCE">
              <w:rPr>
                <w:rFonts w:ascii="Arial" w:eastAsia="Times New Roman" w:hAnsi="Arial" w:cs="Arial"/>
                <w:lang w:eastAsia="sr-Latn-RS"/>
              </w:rPr>
              <w:br/>
              <w:t>Endrin</w:t>
            </w:r>
            <w:r w:rsidRPr="00AC3BCE">
              <w:rPr>
                <w:rFonts w:ascii="Arial" w:eastAsia="Times New Roman" w:hAnsi="Arial" w:cs="Arial"/>
                <w:b/>
                <w:bCs/>
                <w:sz w:val="15"/>
                <w:szCs w:val="15"/>
                <w:vertAlign w:val="superscript"/>
                <w:lang w:eastAsia="sr-Latn-RS"/>
              </w:rPr>
              <w:t>2</w:t>
            </w:r>
            <w:r w:rsidRPr="00AC3BCE">
              <w:rPr>
                <w:rFonts w:ascii="Arial" w:eastAsia="Times New Roman" w:hAnsi="Arial" w:cs="Arial"/>
                <w:lang w:eastAsia="sr-Latn-RS"/>
              </w:rPr>
              <w:br/>
              <w:t>Izodrin</w:t>
            </w:r>
            <w:r w:rsidRPr="00AC3BCE">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br/>
              <w:t>309-00-02</w:t>
            </w:r>
            <w:r w:rsidRPr="00AC3BCE">
              <w:rPr>
                <w:rFonts w:ascii="Arial" w:eastAsia="Times New Roman" w:hAnsi="Arial" w:cs="Arial"/>
                <w:lang w:eastAsia="sr-Latn-RS"/>
              </w:rPr>
              <w:br/>
              <w:t>60-57-1</w:t>
            </w:r>
            <w:r w:rsidRPr="00AC3BCE">
              <w:rPr>
                <w:rFonts w:ascii="Arial" w:eastAsia="Times New Roman" w:hAnsi="Arial" w:cs="Arial"/>
                <w:lang w:eastAsia="sr-Latn-RS"/>
              </w:rPr>
              <w:br/>
              <w:t>72-20-8</w:t>
            </w:r>
            <w:r w:rsidRPr="00AC3BCE">
              <w:rPr>
                <w:rFonts w:ascii="Arial" w:eastAsia="Times New Roman" w:hAnsi="Arial" w:cs="Arial"/>
                <w:lang w:eastAsia="sr-Latn-RS"/>
              </w:rPr>
              <w:br/>
              <w:t>465-73-6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Suma</w:t>
            </w:r>
            <w:r w:rsidRPr="00AC3BCE">
              <w:rPr>
                <w:rFonts w:ascii="Arial" w:eastAsia="Times New Roman" w:hAnsi="Arial" w:cs="Arial"/>
                <w:lang w:eastAsia="sr-Latn-RS"/>
              </w:rPr>
              <w:br/>
              <w:t>0,01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Ukupni DDT</w:t>
            </w:r>
            <w:r w:rsidRPr="00AC3BCE">
              <w:rPr>
                <w:rFonts w:ascii="Arial" w:eastAsia="Times New Roman" w:hAnsi="Arial" w:cs="Arial"/>
                <w:b/>
                <w:bCs/>
                <w:sz w:val="15"/>
                <w:szCs w:val="15"/>
                <w:vertAlign w:val="superscript"/>
                <w:lang w:eastAsia="sr-Latn-RS"/>
              </w:rPr>
              <w:t>2, 4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0,025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Para-para- DDT</w:t>
            </w:r>
            <w:r w:rsidRPr="00AC3BCE">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50-29-3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Diuron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330-54-1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1,8</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Endosulfan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115-29-7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0,005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0,01</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Fluoranten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206-44-0</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0,0063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0,12</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Heksahlorbenzen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118-74-1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0,05</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Heksahlorbutadien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87-68-3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0,6</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18.</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Heksahlorcikloheksani</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r w:rsidRPr="00AC3BCE">
              <w:rPr>
                <w:rFonts w:ascii="Arial" w:eastAsia="Times New Roman" w:hAnsi="Arial" w:cs="Arial"/>
                <w:b/>
                <w:bCs/>
                <w:sz w:val="15"/>
                <w:szCs w:val="15"/>
                <w:vertAlign w:val="superscript"/>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Izoproturon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34123-59-6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1,0</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20.</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Oktilfenoli 4- (1,1 ,3,3 - tetrametilbutil) fenol</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140-66-9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Olovo i njegova jedinjenja</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7439-92-1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1,2</w:t>
            </w:r>
            <w:r w:rsidRPr="00AC3BCE">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Naftalen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91-20-3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130</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Nikl i njegova jedinjenja</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7440-02-0</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4</w:t>
            </w:r>
            <w:r w:rsidRPr="00AC3BCE">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Nonilfenoli (4-(para) nonilfenol)</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r w:rsidRPr="00AC3BCE">
              <w:rPr>
                <w:rFonts w:ascii="Arial" w:eastAsia="Times New Roman" w:hAnsi="Arial" w:cs="Arial"/>
                <w:b/>
                <w:bCs/>
                <w:sz w:val="15"/>
                <w:szCs w:val="15"/>
                <w:vertAlign w:val="superscript"/>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2,0</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Pentahlorbenzen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608-93-5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0,007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Pentahlorfenol</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87-86-5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27-31.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Poliaromatični ugljovodonici (PAH)</w:t>
            </w:r>
            <w:r w:rsidRPr="00AC3BCE">
              <w:rPr>
                <w:rFonts w:ascii="Arial" w:eastAsia="Times New Roman" w:hAnsi="Arial" w:cs="Arial"/>
                <w:b/>
                <w:bCs/>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Benzo(a)piren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50-32-8</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1,7x10</w:t>
            </w:r>
            <w:r w:rsidRPr="00AC3BCE">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0,27</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Benzo(b)fluoranten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205-99-2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AC3BCE">
              <w:rPr>
                <w:rFonts w:ascii="Arial" w:eastAsia="Times New Roman" w:hAnsi="Arial" w:cs="Arial"/>
                <w:b/>
                <w:bCs/>
                <w:sz w:val="15"/>
                <w:szCs w:val="15"/>
                <w:vertAlign w:val="superscript"/>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0,017</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Benzo(k)fluoranten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207-08-9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AC3BCE">
              <w:rPr>
                <w:rFonts w:ascii="Arial" w:eastAsia="Times New Roman" w:hAnsi="Arial" w:cs="Arial"/>
                <w:b/>
                <w:bCs/>
                <w:sz w:val="15"/>
                <w:szCs w:val="15"/>
                <w:vertAlign w:val="superscript"/>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0,017</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Benzo(g,h,i)perilen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191-24-2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AC3BCE">
              <w:rPr>
                <w:rFonts w:ascii="Arial" w:eastAsia="Times New Roman" w:hAnsi="Arial" w:cs="Arial"/>
                <w:b/>
                <w:bCs/>
                <w:sz w:val="15"/>
                <w:szCs w:val="15"/>
                <w:vertAlign w:val="superscript"/>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8,2x10</w:t>
            </w:r>
            <w:r w:rsidRPr="00AC3BCE">
              <w:rPr>
                <w:rFonts w:ascii="Arial" w:eastAsia="Times New Roman" w:hAnsi="Arial" w:cs="Arial"/>
                <w:sz w:val="15"/>
                <w:szCs w:val="15"/>
                <w:vertAlign w:val="superscript"/>
                <w:lang w:eastAsia="sr-Latn-RS"/>
              </w:rPr>
              <w:t>-3</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Indeno(1,2,3- cd)piren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193-39-5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AC3BCE">
              <w:rPr>
                <w:rFonts w:ascii="Arial" w:eastAsia="Times New Roman" w:hAnsi="Arial" w:cs="Arial"/>
                <w:b/>
                <w:bCs/>
                <w:sz w:val="15"/>
                <w:szCs w:val="15"/>
                <w:vertAlign w:val="superscript"/>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Polihlorovani bifenili (PCB)</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1336-36-3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Simazin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122-34-9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Trifluralin</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1582-09-8</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Terbutrin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0,065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0,34</w:t>
            </w:r>
          </w:p>
        </w:tc>
      </w:tr>
    </w:tbl>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b/>
          <w:bCs/>
          <w:sz w:val="15"/>
          <w:szCs w:val="15"/>
          <w:vertAlign w:val="superscript"/>
          <w:lang w:eastAsia="sr-Latn-RS"/>
        </w:rPr>
        <w:t>1</w:t>
      </w:r>
      <w:r w:rsidRPr="00AC3BCE">
        <w:rPr>
          <w:rFonts w:ascii="Arial" w:eastAsia="Times New Roman" w:hAnsi="Arial" w:cs="Arial"/>
          <w:lang w:eastAsia="sr-Latn-RS"/>
        </w:rPr>
        <w:t xml:space="preserve"> Za kadmijum i njegova jedinjenja vrednost SKŽS se menja u zavisnosti od tvrdoće vode kojaje kategorisana u pet klasa (klasa 1: &lt;40 mg CaCO</w:t>
      </w:r>
      <w:r w:rsidRPr="00AC3BCE">
        <w:rPr>
          <w:rFonts w:ascii="Arial" w:eastAsia="Times New Roman" w:hAnsi="Arial" w:cs="Arial"/>
          <w:sz w:val="15"/>
          <w:szCs w:val="15"/>
          <w:vertAlign w:val="subscript"/>
          <w:lang w:eastAsia="sr-Latn-RS"/>
        </w:rPr>
        <w:t>3</w:t>
      </w:r>
      <w:r w:rsidRPr="00AC3BCE">
        <w:rPr>
          <w:rFonts w:ascii="Arial" w:eastAsia="Times New Roman" w:hAnsi="Arial" w:cs="Arial"/>
          <w:lang w:eastAsia="sr-Latn-RS"/>
        </w:rPr>
        <w:t>/l, klasa 2: 40 do &lt;50 mg CaCO</w:t>
      </w:r>
      <w:r w:rsidRPr="00AC3BCE">
        <w:rPr>
          <w:rFonts w:ascii="Arial" w:eastAsia="Times New Roman" w:hAnsi="Arial" w:cs="Arial"/>
          <w:sz w:val="15"/>
          <w:szCs w:val="15"/>
          <w:vertAlign w:val="subscript"/>
          <w:lang w:eastAsia="sr-Latn-RS"/>
        </w:rPr>
        <w:t>3</w:t>
      </w:r>
      <w:r w:rsidRPr="00AC3BCE">
        <w:rPr>
          <w:rFonts w:ascii="Arial" w:eastAsia="Times New Roman" w:hAnsi="Arial" w:cs="Arial"/>
          <w:lang w:eastAsia="sr-Latn-RS"/>
        </w:rPr>
        <w:t>/l, klasa 3: 50 do &lt;100 mg CaCO</w:t>
      </w:r>
      <w:r w:rsidRPr="00AC3BCE">
        <w:rPr>
          <w:rFonts w:ascii="Arial" w:eastAsia="Times New Roman" w:hAnsi="Arial" w:cs="Arial"/>
          <w:sz w:val="15"/>
          <w:szCs w:val="15"/>
          <w:vertAlign w:val="subscript"/>
          <w:lang w:eastAsia="sr-Latn-RS"/>
        </w:rPr>
        <w:t>3</w:t>
      </w:r>
      <w:r w:rsidRPr="00AC3BCE">
        <w:rPr>
          <w:rFonts w:ascii="Arial" w:eastAsia="Times New Roman" w:hAnsi="Arial" w:cs="Arial"/>
          <w:lang w:eastAsia="sr-Latn-RS"/>
        </w:rPr>
        <w:t>/l, klasa 4: 100 do &lt;200 mg CaCO</w:t>
      </w:r>
      <w:r w:rsidRPr="00AC3BCE">
        <w:rPr>
          <w:rFonts w:ascii="Arial" w:eastAsia="Times New Roman" w:hAnsi="Arial" w:cs="Arial"/>
          <w:sz w:val="15"/>
          <w:szCs w:val="15"/>
          <w:vertAlign w:val="subscript"/>
          <w:lang w:eastAsia="sr-Latn-RS"/>
        </w:rPr>
        <w:t>3</w:t>
      </w:r>
      <w:r w:rsidRPr="00AC3BCE">
        <w:rPr>
          <w:rFonts w:ascii="Arial" w:eastAsia="Times New Roman" w:hAnsi="Arial" w:cs="Arial"/>
          <w:lang w:eastAsia="sr-Latn-RS"/>
        </w:rPr>
        <w:t>/l i klasa 5: ≥200 mg CaCO</w:t>
      </w:r>
      <w:r w:rsidRPr="00AC3BCE">
        <w:rPr>
          <w:rFonts w:ascii="Arial" w:eastAsia="Times New Roman" w:hAnsi="Arial" w:cs="Arial"/>
          <w:sz w:val="15"/>
          <w:szCs w:val="15"/>
          <w:vertAlign w:val="subscript"/>
          <w:lang w:eastAsia="sr-Latn-RS"/>
        </w:rPr>
        <w:t>3</w:t>
      </w:r>
      <w:r w:rsidRPr="00AC3BCE">
        <w:rPr>
          <w:rFonts w:ascii="Arial" w:eastAsia="Times New Roman" w:hAnsi="Arial" w:cs="Arial"/>
          <w:lang w:eastAsia="sr-Latn-RS"/>
        </w:rPr>
        <w:t>/l).</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2</w:t>
      </w:r>
      <w:r w:rsidRPr="00AC3BCE">
        <w:rPr>
          <w:rFonts w:ascii="Arial" w:eastAsia="Times New Roman" w:hAnsi="Arial" w:cs="Arial"/>
          <w:sz w:val="15"/>
          <w:szCs w:val="15"/>
          <w:vertAlign w:val="superscript"/>
          <w:lang w:eastAsia="sr-Latn-RS"/>
        </w:rPr>
        <w:t xml:space="preserve"> </w:t>
      </w:r>
      <w:r w:rsidRPr="00AC3BCE">
        <w:rPr>
          <w:rFonts w:ascii="Arial" w:eastAsia="Times New Roman" w:hAnsi="Arial" w:cs="Arial"/>
          <w:lang w:eastAsia="sr-Latn-RS"/>
        </w:rPr>
        <w:t xml:space="preserve">Ova supstanca nije prioritetna supstanca već jedna od ostalih zagađujućih supstanci za koje su SKŽS identični onima utvrđenim u propisima EU koji su se primenjivali pre 13. januara 2009. godine. </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3</w:t>
      </w:r>
      <w:r w:rsidRPr="00AC3BCE">
        <w:rPr>
          <w:rFonts w:ascii="Arial" w:eastAsia="Times New Roman" w:hAnsi="Arial" w:cs="Arial"/>
          <w:lang w:eastAsia="sr-Latn-RS"/>
        </w:rPr>
        <w:t xml:space="preserve"> Ove vrednosti za standard kvaliteta životne sredine ukazuju na koncentracije supstance koje su biodostupne.</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4</w:t>
      </w:r>
      <w:r w:rsidRPr="00AC3BCE">
        <w:rPr>
          <w:rFonts w:ascii="Arial" w:eastAsia="Times New Roman" w:hAnsi="Arial" w:cs="Arial"/>
          <w:lang w:eastAsia="sr-Latn-RS"/>
        </w:rPr>
        <w:t xml:space="preserve"> Ukupni DDT obuhvata sumu izomera 1,1,1-trihlor-2,2 bi(p-hlorfenil)etan (CAS broj 50-29-3; EU broj 200-024-3); 1,1,1-trihlor-2(o-hlorfenil)-2-(p-hlorfenil) etan (CAS broj 789-02-6, EU broj 212-332-5); 1,1-dihlor-2,2 bi(p-hlorfenil)etilen (CAS broj 72-55-9, EU broj 200-784-6); i 1,1-dihlor-2,2 bi(p-hlorfenil) etan (CAS broj 72-54-8; EU broj 200-783-0).</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5</w:t>
      </w:r>
      <w:r w:rsidRPr="00AC3BCE">
        <w:rPr>
          <w:rFonts w:ascii="Arial" w:eastAsia="Times New Roman" w:hAnsi="Arial" w:cs="Arial"/>
          <w:lang w:eastAsia="sr-Latn-RS"/>
        </w:rPr>
        <w:t xml:space="preserve"> Nonilfenoli (CAS 25154-52-3) uključujući izomere 4-nonilfenol (CAS 104-40-5) i 4-nonilfenol (razgranat) (CAS 84852-15-3).</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6</w:t>
      </w:r>
      <w:r w:rsidRPr="00AC3BCE">
        <w:rPr>
          <w:rFonts w:ascii="Arial" w:eastAsia="Times New Roman" w:hAnsi="Arial" w:cs="Arial"/>
          <w:lang w:eastAsia="sr-Latn-RS"/>
        </w:rPr>
        <w:t xml:space="preserve"> Za grupu prioritetnih supstanci poliaromatičnih ugljovodonika (PAH) odgovarajuće PGK u vodi, odnose se na koncentraciju benzo(a)piren. Benzo(a)piren se smatra predstavnikom drugih PAH, pa se zato samo benzo(a)piren mora pratiti monitoringom radi poređenja sa vrednostima za PGK u vodi.</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7</w:t>
      </w:r>
      <w:r w:rsidRPr="00AC3BCE">
        <w:rPr>
          <w:rFonts w:ascii="Arial" w:eastAsia="Times New Roman" w:hAnsi="Arial" w:cs="Arial"/>
          <w:lang w:eastAsia="sr-Latn-RS"/>
        </w:rPr>
        <w:t xml:space="preserve"> Ovo se odnosi na: α-HCH (319-84-6), β-HCH (319-85-7), γ- HCH (Lindan) (58-89-9), t-HCH (CAS 608-73-1).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Tabela 2. SKŽS za drugu grupu prioritetnih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2"/>
        <w:gridCol w:w="2805"/>
        <w:gridCol w:w="1388"/>
        <w:gridCol w:w="1442"/>
        <w:gridCol w:w="1416"/>
        <w:gridCol w:w="1629"/>
      </w:tblGrid>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Ime prioritetne supstance (PS)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Numerička identifikacija</w:t>
            </w:r>
            <w:r w:rsidRPr="00AC3BCE">
              <w:rPr>
                <w:rFonts w:ascii="Arial" w:eastAsia="Times New Roman" w:hAnsi="Arial" w:cs="Arial"/>
                <w:lang w:eastAsia="sr-Latn-RS"/>
              </w:rPr>
              <w:br/>
              <w:t xml:space="preserve">(CAS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Prioritetne hazardne supstance-(PHS)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Prosečna godišnja </w:t>
            </w:r>
            <w:r w:rsidRPr="00AC3BCE">
              <w:rPr>
                <w:rFonts w:ascii="Arial" w:eastAsia="Times New Roman" w:hAnsi="Arial" w:cs="Arial"/>
                <w:lang w:eastAsia="sr-Latn-RS"/>
              </w:rPr>
              <w:br/>
              <w:t>koncentracija</w:t>
            </w:r>
            <w:r w:rsidRPr="00AC3BCE">
              <w:rPr>
                <w:rFonts w:ascii="Arial" w:eastAsia="Times New Roman" w:hAnsi="Arial" w:cs="Arial"/>
                <w:lang w:eastAsia="sr-Latn-RS"/>
              </w:rPr>
              <w:br/>
              <w:t>(PGK)</w:t>
            </w:r>
            <w:r w:rsidRPr="00AC3BCE">
              <w:rPr>
                <w:rFonts w:ascii="Arial" w:eastAsia="Times New Roman" w:hAnsi="Arial" w:cs="Arial"/>
                <w:lang w:eastAsia="sr-Latn-RS"/>
              </w:rPr>
              <w:br/>
              <w:t>(</w:t>
            </w:r>
            <w:r w:rsidRPr="00AC3BCE">
              <w:rPr>
                <w:rFonts w:ascii="Symbol" w:eastAsia="Times New Roman" w:hAnsi="Symbol" w:cs="Arial"/>
                <w:sz w:val="20"/>
                <w:szCs w:val="20"/>
                <w:lang w:eastAsia="sr-Latn-RS"/>
              </w:rPr>
              <w:t></w:t>
            </w:r>
            <w:r w:rsidRPr="00AC3BCE">
              <w:rPr>
                <w:rFonts w:ascii="Arial" w:eastAsia="Times New Roman" w:hAnsi="Arial" w:cs="Arial"/>
                <w:lang w:eastAsia="sr-Latn-RS"/>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Maksimalno dozvoljena koncentracija</w:t>
            </w:r>
            <w:r w:rsidRPr="00AC3BCE">
              <w:rPr>
                <w:rFonts w:ascii="Arial" w:eastAsia="Times New Roman" w:hAnsi="Arial" w:cs="Arial"/>
                <w:lang w:eastAsia="sr-Latn-RS"/>
              </w:rPr>
              <w:br/>
              <w:t>(MDK)</w:t>
            </w:r>
            <w:r w:rsidRPr="00AC3BCE">
              <w:rPr>
                <w:rFonts w:ascii="Arial" w:eastAsia="Times New Roman" w:hAnsi="Arial" w:cs="Arial"/>
                <w:lang w:eastAsia="sr-Latn-RS"/>
              </w:rPr>
              <w:br/>
              <w:t>(</w:t>
            </w:r>
            <w:r w:rsidRPr="00AC3BCE">
              <w:rPr>
                <w:rFonts w:ascii="Symbol" w:eastAsia="Times New Roman" w:hAnsi="Symbol" w:cs="Arial"/>
                <w:sz w:val="20"/>
                <w:szCs w:val="20"/>
                <w:lang w:eastAsia="sr-Latn-RS"/>
              </w:rPr>
              <w:t></w:t>
            </w:r>
            <w:r w:rsidRPr="00AC3BCE">
              <w:rPr>
                <w:rFonts w:ascii="Arial" w:eastAsia="Times New Roman" w:hAnsi="Arial" w:cs="Arial"/>
                <w:lang w:eastAsia="sr-Latn-RS"/>
              </w:rPr>
              <w:t xml:space="preserve">g/l)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Živa i njena jedinjenja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7439-97-6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0,07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Benzen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71-43-2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50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Brominovanidifenil etri</w:t>
            </w:r>
            <w:r w:rsidRPr="00AC3BCE">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32534-81-9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r w:rsidRPr="00AC3BCE">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0,14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Ugljentetrahlorid</w:t>
            </w:r>
            <w:r w:rsidRPr="00AC3BCE">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56-23-5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Hlorovani C10-13 alkani</w:t>
            </w:r>
            <w:r w:rsidRPr="00AC3BCE">
              <w:rPr>
                <w:rFonts w:ascii="Arial" w:eastAsia="Times New Roman" w:hAnsi="Arial" w:cs="Arial"/>
                <w:b/>
                <w:bCs/>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85535-84-8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1,4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1,2-dihloretan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107-06-2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Dihlormetan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75-09-2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Bis(2-etilheksil) ftalat (DEHP)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117-81-7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Tetrahloretilen</w:t>
            </w:r>
            <w:r w:rsidRPr="00AC3BCE">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127-18-4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Trihloretilen</w:t>
            </w:r>
            <w:r w:rsidRPr="00AC3BCE">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79-01-6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Tributil kalajna jedinjenja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36643-28-4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X</w:t>
            </w:r>
            <w:r w:rsidRPr="00AC3BCE">
              <w:rPr>
                <w:rFonts w:ascii="Arial" w:eastAsia="Times New Roman" w:hAnsi="Arial" w:cs="Arial"/>
                <w:b/>
                <w:bCs/>
                <w:sz w:val="15"/>
                <w:szCs w:val="15"/>
                <w:vertAlign w:val="superscript"/>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0,0002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0,0015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Trihlorbenzeni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12002-48-1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Trihlormetan (hloroform)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67-66-3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Dikofol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1,3x10</w:t>
            </w:r>
            <w:r w:rsidRPr="00AC3BC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r w:rsidRPr="00AC3BCE">
              <w:rPr>
                <w:rFonts w:ascii="Arial" w:eastAsia="Times New Roman" w:hAnsi="Arial" w:cs="Arial"/>
                <w:b/>
                <w:bCs/>
                <w:sz w:val="15"/>
                <w:szCs w:val="15"/>
                <w:vertAlign w:val="superscript"/>
                <w:lang w:eastAsia="sr-Latn-RS"/>
              </w:rPr>
              <w:t>6</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Perfluoroktan sulfonska kiselina i njeni derivati (PFOS)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1763-23-1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6,5x10</w:t>
            </w:r>
            <w:r w:rsidRPr="00AC3BCE">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36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Kvinoksifen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124495-18-7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0,15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2,7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Dioksini i jedinjenja slična dioksinu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w:t>
            </w:r>
            <w:r w:rsidRPr="00AC3BCE">
              <w:rPr>
                <w:rFonts w:ascii="Arial" w:eastAsia="Times New Roman" w:hAnsi="Arial" w:cs="Arial"/>
                <w:b/>
                <w:bCs/>
                <w:sz w:val="15"/>
                <w:szCs w:val="15"/>
                <w:vertAlign w:val="superscript"/>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Aklonifen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74070-46-5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0,12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0,12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Bifenoks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42576-02-3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0,012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0,04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Cibutrin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28159-98-0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0,0025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0,016 </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Cipermetrin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52315-07-8 </w:t>
            </w:r>
            <w:r w:rsidRPr="00AC3BCE">
              <w:rPr>
                <w:rFonts w:ascii="Arial" w:eastAsia="Times New Roman" w:hAnsi="Arial" w:cs="Arial"/>
                <w:sz w:val="15"/>
                <w:szCs w:val="15"/>
                <w:vertAlign w:val="superscript"/>
                <w:lang w:eastAsia="sr-Latn-RS"/>
              </w:rPr>
              <w:t>9</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8x10</w:t>
            </w:r>
            <w:r w:rsidRPr="00AC3BCE">
              <w:rPr>
                <w:rFonts w:ascii="Arial" w:eastAsia="Times New Roman" w:hAnsi="Arial" w:cs="Arial"/>
                <w:sz w:val="15"/>
                <w:szCs w:val="15"/>
                <w:vertAlign w:val="superscript"/>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6x10</w:t>
            </w:r>
            <w:r w:rsidRPr="00AC3BCE">
              <w:rPr>
                <w:rFonts w:ascii="Arial" w:eastAsia="Times New Roman" w:hAnsi="Arial" w:cs="Arial"/>
                <w:sz w:val="15"/>
                <w:szCs w:val="15"/>
                <w:vertAlign w:val="superscript"/>
                <w:lang w:eastAsia="sr-Latn-RS"/>
              </w:rPr>
              <w:t>-4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Dihlorvos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62-73-7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6x10</w:t>
            </w:r>
            <w:r w:rsidRPr="00AC3BCE">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7x10</w:t>
            </w:r>
            <w:r w:rsidRPr="00AC3BCE">
              <w:rPr>
                <w:rFonts w:ascii="Arial" w:eastAsia="Times New Roman" w:hAnsi="Arial" w:cs="Arial"/>
                <w:sz w:val="15"/>
                <w:szCs w:val="15"/>
                <w:vertAlign w:val="superscript"/>
                <w:lang w:eastAsia="sr-Latn-RS"/>
              </w:rPr>
              <w:t>-4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Heptahlor </w:t>
            </w:r>
            <w:r w:rsidRPr="00AC3BCE">
              <w:rPr>
                <w:rFonts w:ascii="Arial" w:eastAsia="Times New Roman" w:hAnsi="Arial" w:cs="Arial"/>
                <w:lang w:eastAsia="sr-Latn-RS"/>
              </w:rPr>
              <w:br/>
              <w:t xml:space="preserve">Heptahlor-epoksid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76-44-8/</w:t>
            </w:r>
            <w:r w:rsidRPr="00AC3BCE">
              <w:rPr>
                <w:rFonts w:ascii="Arial" w:eastAsia="Times New Roman" w:hAnsi="Arial" w:cs="Arial"/>
                <w:lang w:eastAsia="sr-Latn-RS"/>
              </w:rPr>
              <w:br/>
              <w:t xml:space="preserve">1024-57-3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2x10</w:t>
            </w:r>
            <w:r w:rsidRPr="00AC3BCE">
              <w:rPr>
                <w:rFonts w:ascii="Arial" w:eastAsia="Times New Roman" w:hAnsi="Arial" w:cs="Arial"/>
                <w:sz w:val="15"/>
                <w:szCs w:val="15"/>
                <w:vertAlign w:val="superscript"/>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3x10</w:t>
            </w:r>
            <w:r w:rsidRPr="00AC3BCE">
              <w:rPr>
                <w:rFonts w:ascii="Arial" w:eastAsia="Times New Roman" w:hAnsi="Arial" w:cs="Arial"/>
                <w:sz w:val="15"/>
                <w:szCs w:val="15"/>
                <w:vertAlign w:val="superscript"/>
                <w:lang w:eastAsia="sr-Latn-RS"/>
              </w:rPr>
              <w:t>-4</w:t>
            </w:r>
          </w:p>
        </w:tc>
      </w:tr>
      <w:tr w:rsidR="00AC3BCE" w:rsidRPr="00AC3BCE" w:rsidTr="00AC3B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Heksabromciklododekan (HBCDD)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 </w:t>
            </w:r>
            <w:r w:rsidRPr="00AC3BCE">
              <w:rPr>
                <w:rFonts w:ascii="Arial" w:eastAsia="Times New Roman" w:hAnsi="Arial" w:cs="Arial"/>
                <w:b/>
                <w:bCs/>
                <w:sz w:val="15"/>
                <w:szCs w:val="15"/>
                <w:vertAlign w:val="superscript"/>
                <w:lang w:eastAsia="sr-Latn-RS"/>
              </w:rPr>
              <w:t>8</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0,0016 </w:t>
            </w:r>
          </w:p>
        </w:tc>
        <w:tc>
          <w:tcPr>
            <w:tcW w:w="0" w:type="auto"/>
            <w:tcBorders>
              <w:top w:val="outset" w:sz="6" w:space="0" w:color="auto"/>
              <w:left w:val="outset" w:sz="6" w:space="0" w:color="auto"/>
              <w:bottom w:val="outset" w:sz="6" w:space="0" w:color="auto"/>
              <w:right w:val="outset" w:sz="6" w:space="0" w:color="auto"/>
            </w:tcBorders>
            <w:hideMark/>
          </w:tcPr>
          <w:p w:rsidR="00AC3BCE" w:rsidRPr="00AC3BCE" w:rsidRDefault="00AC3BCE" w:rsidP="00AC3BCE">
            <w:pPr>
              <w:spacing w:before="100" w:beforeAutospacing="1" w:after="100" w:afterAutospacing="1" w:line="240" w:lineRule="auto"/>
              <w:jc w:val="center"/>
              <w:rPr>
                <w:rFonts w:ascii="Arial" w:eastAsia="Times New Roman" w:hAnsi="Arial" w:cs="Arial"/>
                <w:lang w:eastAsia="sr-Latn-RS"/>
              </w:rPr>
            </w:pPr>
            <w:r w:rsidRPr="00AC3BCE">
              <w:rPr>
                <w:rFonts w:ascii="Arial" w:eastAsia="Times New Roman" w:hAnsi="Arial" w:cs="Arial"/>
                <w:lang w:eastAsia="sr-Latn-RS"/>
              </w:rPr>
              <w:t xml:space="preserve">0,5 </w:t>
            </w:r>
          </w:p>
        </w:tc>
      </w:tr>
    </w:tbl>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b/>
          <w:bCs/>
          <w:sz w:val="15"/>
          <w:szCs w:val="15"/>
          <w:vertAlign w:val="superscript"/>
          <w:lang w:eastAsia="sr-Latn-RS"/>
        </w:rPr>
        <w:t>1</w:t>
      </w:r>
      <w:r w:rsidRPr="00AC3BCE">
        <w:rPr>
          <w:rFonts w:ascii="Arial" w:eastAsia="Times New Roman" w:hAnsi="Arial" w:cs="Arial"/>
          <w:lang w:eastAsia="sr-Latn-RS"/>
        </w:rPr>
        <w:t xml:space="preserve"> Za ovu grupu prioritetnih supstanci SKŽS se odnose na sumu koncentracija kongenera pod brojevima 28, 47, 99, 100, 153 i 154.</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2</w:t>
      </w:r>
      <w:r w:rsidRPr="00AC3BCE">
        <w:rPr>
          <w:rFonts w:ascii="Arial" w:eastAsia="Times New Roman" w:hAnsi="Arial" w:cs="Arial"/>
          <w:lang w:eastAsia="sr-Latn-RS"/>
        </w:rPr>
        <w:t xml:space="preserve"> Samo Tetra-, Penta-, Heksa- i Heptabromdifenil etar (CAS brojevi istim redom: 40088-47-9, 32534-81-9, 36483-60-0, 68928-80-3)</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3</w:t>
      </w:r>
      <w:r w:rsidRPr="00AC3BCE">
        <w:rPr>
          <w:rFonts w:ascii="Arial" w:eastAsia="Times New Roman" w:hAnsi="Arial" w:cs="Arial"/>
          <w:lang w:eastAsia="sr-Latn-RS"/>
        </w:rPr>
        <w:t xml:space="preserve"> Ova supstanca nije prioritetna supstanca već jedna od ostalih zagađujućih supstanci za koje su SKŽS identični onima utvrđenim u propisima EU koji su se primenjivali pre 13. januara 2009. godine. </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4</w:t>
      </w:r>
      <w:r w:rsidRPr="00AC3BCE">
        <w:rPr>
          <w:rFonts w:ascii="Arial" w:eastAsia="Times New Roman" w:hAnsi="Arial" w:cs="Arial"/>
          <w:lang w:eastAsia="sr-Latn-RS"/>
        </w:rPr>
        <w:t xml:space="preserve"> Indikativni parametar mora biti utvrđen analitičkom metodom.</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5</w:t>
      </w:r>
      <w:r w:rsidRPr="00AC3BCE">
        <w:rPr>
          <w:rFonts w:ascii="Arial" w:eastAsia="Times New Roman" w:hAnsi="Arial" w:cs="Arial"/>
          <w:lang w:eastAsia="sr-Latn-RS"/>
        </w:rPr>
        <w:t xml:space="preserve"> Uključujući tributilkalajni katjon (CAS 36643-28-4).</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6</w:t>
      </w:r>
      <w:r w:rsidRPr="00AC3BCE">
        <w:rPr>
          <w:rFonts w:ascii="Arial" w:eastAsia="Times New Roman" w:hAnsi="Arial" w:cs="Arial"/>
          <w:lang w:eastAsia="sr-Latn-RS"/>
        </w:rPr>
        <w:t xml:space="preserve"> Nema dovoljno dostupnih podataka da bi se propisala MDK za ovu supstancu.</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7</w:t>
      </w:r>
      <w:r w:rsidRPr="00AC3BCE">
        <w:rPr>
          <w:rFonts w:ascii="Arial" w:eastAsia="Times New Roman" w:hAnsi="Arial" w:cs="Arial"/>
          <w:lang w:eastAsia="sr-Latn-RS"/>
        </w:rPr>
        <w:t xml:space="preserve"> Ovo se odnosi na sledeća jedinjenja:</w:t>
      </w:r>
      <w:r w:rsidRPr="00AC3BCE">
        <w:rPr>
          <w:rFonts w:ascii="Arial" w:eastAsia="Times New Roman" w:hAnsi="Arial" w:cs="Arial"/>
          <w:lang w:eastAsia="sr-Latn-RS"/>
        </w:rPr>
        <w:br/>
        <w:t xml:space="preserve">7 polihlorovani dibenzo-p-dioksini (PCDD): 2,3,7,8-T4CCD (CAS 1746-01-6), 1,2,3,7,8-P5CDD (CAS 40321-76-4), 1,2,3,4,7,8-H6CDD (CAS 39227-28-6), 1,2,3,6,7,8-H6CDD (CAS 57653-85-7), 1,2,3,7,8,9-H6CDD (CAS 19408-74-3), 1,2,3,4,6,7,8-H7CDD (CAS 35822-46-9), 1,2,3,4,6,7,8,9-O8CDD (CAS 3268-87-9). </w:t>
      </w:r>
      <w:r w:rsidRPr="00AC3BCE">
        <w:rPr>
          <w:rFonts w:ascii="Arial" w:eastAsia="Times New Roman" w:hAnsi="Arial" w:cs="Arial"/>
          <w:lang w:eastAsia="sr-Latn-RS"/>
        </w:rPr>
        <w:br/>
        <w:t>10 polihlorovani dibenzofurani (PCDF): 2,3,7,8-T4CDF (CAS 51207-31-9), 1,2,3,7,8-P5CDF (CAS 57117-41-6), 2,3,4,7,8-P5CDF (CAS 57117-31-4), 1,2,3,4,7,8-H6CDF (CAS 70648-26-9), 1,2,3,6,7,8-H6CDF (CAS 57117-44-9), 1,2,3,7,8,9-H6CDF (CAS 72918-21-9), 2,3,4,6,7,8-H6CDF (CAS 60851-34-5), 1,2,3,4,6,7,8-H7CDF (CAS 67562-39-4), 1,2,3,4,7,8,9-H7CDF (CAS 55673-89-7), 1,2,3,4,6,7,8,9-O8CDF (CAS 39001-02-0).</w:t>
      </w:r>
      <w:r w:rsidRPr="00AC3BCE">
        <w:rPr>
          <w:rFonts w:ascii="Arial" w:eastAsia="Times New Roman" w:hAnsi="Arial" w:cs="Arial"/>
          <w:lang w:eastAsia="sr-Latn-RS"/>
        </w:rPr>
        <w:br/>
        <w:t>12 polihlorovani bifenili slični dioksinu (PCB-DL): 3,3’,4,4’-T4CB (PCB 77, CAS 32598-13-3), 3,3’,4’,5-T4CB (PCB 81, CAS 70362-50-4), 2,3,3’,4,4’-P5CB (PCB 105, CAS 32598-14-4), 2,3,4,4’,5-P5CB (PCB 114, CAS 74472-37-0), 2,3’,4,4’,5-P5CB (PCB 118, CAS 31508-00-6), 2,3’,4,4’,5’-P5CB (PCB123, CAS 65510-44-3), 3,3’,4,4’,5-P5CB (PCB 126, CAS 57465-28-8), 2,3,3’,4,4’,5-H6CB (PCB 156, CAS 38380-08-4), 2,3,3’,4,4’,5’-H6CB (PCB 157, CAS 69782-90-7), 2,3’,4,4’,5,5’-H6CB (PCB 167, CAS 52663-72-6), 3,3’,4,4’,5,5’-H6CB (PCB 169, CAS 32774-16-6), 2,3,3’,4,4’,5,5’-H7CB (PCB 189, CAS 39635-31-9).</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8</w:t>
      </w:r>
      <w:r w:rsidRPr="00AC3BCE">
        <w:rPr>
          <w:rFonts w:ascii="Arial" w:eastAsia="Times New Roman" w:hAnsi="Arial" w:cs="Arial"/>
          <w:lang w:eastAsia="sr-Latn-RS"/>
        </w:rPr>
        <w:t xml:space="preserve"> Ovo se odnosi na 1,3,5,7,9,11-Heksabromciklododekan (CAS 25637-99-4), 1,2,5,6,9,10-Heksabromciklododekan (CAS 3194-55-6), α-Heksabromciklododekan (CAS 134237-50-6), β-Heksabromciklododekan (CAS 134237-51-7) i γ-Heksabromciklododekan (CAS 134237-52-8).</w:t>
      </w:r>
      <w:r w:rsidRPr="00AC3BCE">
        <w:rPr>
          <w:rFonts w:ascii="Arial" w:eastAsia="Times New Roman" w:hAnsi="Arial" w:cs="Arial"/>
          <w:lang w:eastAsia="sr-Latn-RS"/>
        </w:rPr>
        <w:br/>
      </w:r>
      <w:r w:rsidRPr="00AC3BCE">
        <w:rPr>
          <w:rFonts w:ascii="Arial" w:eastAsia="Times New Roman" w:hAnsi="Arial" w:cs="Arial"/>
          <w:b/>
          <w:bCs/>
          <w:sz w:val="15"/>
          <w:szCs w:val="15"/>
          <w:vertAlign w:val="superscript"/>
          <w:lang w:eastAsia="sr-Latn-RS"/>
        </w:rPr>
        <w:t>9</w:t>
      </w:r>
      <w:r w:rsidRPr="00AC3BCE">
        <w:rPr>
          <w:rFonts w:ascii="Arial" w:eastAsia="Times New Roman" w:hAnsi="Arial" w:cs="Arial"/>
          <w:lang w:eastAsia="sr-Latn-RS"/>
        </w:rPr>
        <w:t xml:space="preserve"> CAS 52315-07-8 se odnosi na smešu izomera cipermetrina: alfa-cipermetrin (CAS 67375-</w:t>
      </w:r>
      <w:r w:rsidRPr="00AC3BCE">
        <w:rPr>
          <w:rFonts w:ascii="Arial" w:eastAsia="Times New Roman" w:hAnsi="Arial" w:cs="Arial"/>
          <w:lang w:eastAsia="sr-Latn-RS"/>
        </w:rPr>
        <w:lastRenderedPageBreak/>
        <w:t xml:space="preserve">30-8), beta-cipermetrin (CAS 65731-84-2), teta-cipermetrin (CAS 71697-59-1), zeta-cipemetrin (CAS 52315-07-8)." </w:t>
      </w:r>
    </w:p>
    <w:p w:rsidR="00AC3BCE" w:rsidRPr="00AC3BCE" w:rsidRDefault="00AC3BCE" w:rsidP="00AC3BCE">
      <w:pPr>
        <w:spacing w:before="240" w:after="240" w:line="240" w:lineRule="auto"/>
        <w:jc w:val="center"/>
        <w:rPr>
          <w:rFonts w:ascii="Arial" w:eastAsia="Times New Roman" w:hAnsi="Arial" w:cs="Arial"/>
          <w:b/>
          <w:bCs/>
          <w:sz w:val="24"/>
          <w:szCs w:val="24"/>
          <w:lang w:eastAsia="sr-Latn-RS"/>
        </w:rPr>
      </w:pPr>
      <w:bookmarkStart w:id="16" w:name="str_4"/>
      <w:bookmarkEnd w:id="16"/>
      <w:r w:rsidRPr="00AC3BCE">
        <w:rPr>
          <w:rFonts w:ascii="Arial" w:eastAsia="Times New Roman" w:hAnsi="Arial" w:cs="Arial"/>
          <w:b/>
          <w:bCs/>
          <w:sz w:val="24"/>
          <w:szCs w:val="24"/>
          <w:lang w:eastAsia="sr-Latn-RS"/>
        </w:rPr>
        <w:t xml:space="preserve">2. Primena SKŽS </w:t>
      </w:r>
    </w:p>
    <w:p w:rsidR="00AC3BCE" w:rsidRPr="00AC3BCE" w:rsidRDefault="00AC3BCE" w:rsidP="00AC3BCE">
      <w:pPr>
        <w:spacing w:before="240" w:after="240" w:line="240" w:lineRule="auto"/>
        <w:jc w:val="center"/>
        <w:rPr>
          <w:rFonts w:ascii="Arial" w:eastAsia="Times New Roman" w:hAnsi="Arial" w:cs="Arial"/>
          <w:i/>
          <w:iCs/>
          <w:sz w:val="24"/>
          <w:szCs w:val="24"/>
          <w:lang w:eastAsia="sr-Latn-RS"/>
        </w:rPr>
      </w:pPr>
      <w:r w:rsidRPr="00AC3BCE">
        <w:rPr>
          <w:rFonts w:ascii="Arial" w:eastAsia="Times New Roman" w:hAnsi="Arial" w:cs="Arial"/>
          <w:i/>
          <w:iCs/>
          <w:sz w:val="24"/>
          <w:szCs w:val="24"/>
          <w:lang w:eastAsia="sr-Latn-RS"/>
        </w:rPr>
        <w:t xml:space="preserve">1) Izračunavanje srednje vrednosti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Za izračunavanje srednje vrednosti količine supstance u datom uzorku, kada su izmerene vrednosti ispod granice kvantifikacije, smatraće se da rezultati merenja imaju brojčanu vrednost polovine vrednosti granice kvantifikacije.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Srednja vrednost koja ima vrednost ispod granice kvantifikacije, prikazuje se kao vrednost "ispod granice kvantifikacije".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Srednja vrednost merenja sprovedenih korišćenjem najboljih dostupnih tehnika, koja ima vrednost "ispod granice kvantifikacije", neće biti uzeta u obzir prilikom procene hemijskog statusa vodnog tela za koje je merenje izvršeno, u slučaju ako je granica kvantifikacije ove tehnike iznad vrednosti za SKŽS parametra koji se meri.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Izuzetno, u slučaju kada su supstance koje se mere prikazane kao grupa fizičko-hemijskih ili hemijskih parametara, uključujući i njihove relevantne metabolite ili produkte reakcija ili degradacije, i kada su te izmerene vrednosti ispod granice kvantifikacije, smatraće se da rezultati merenja imaju vrednost nula (0). </w:t>
      </w:r>
    </w:p>
    <w:p w:rsidR="00AC3BCE" w:rsidRPr="00AC3BCE" w:rsidRDefault="00AC3BCE" w:rsidP="00AC3BCE">
      <w:pPr>
        <w:spacing w:before="240" w:after="240" w:line="240" w:lineRule="auto"/>
        <w:jc w:val="center"/>
        <w:rPr>
          <w:rFonts w:ascii="Arial" w:eastAsia="Times New Roman" w:hAnsi="Arial" w:cs="Arial"/>
          <w:i/>
          <w:iCs/>
          <w:sz w:val="24"/>
          <w:szCs w:val="24"/>
          <w:lang w:eastAsia="sr-Latn-RS"/>
        </w:rPr>
      </w:pPr>
      <w:r w:rsidRPr="00AC3BCE">
        <w:rPr>
          <w:rFonts w:ascii="Arial" w:eastAsia="Times New Roman" w:hAnsi="Arial" w:cs="Arial"/>
          <w:i/>
          <w:iCs/>
          <w:sz w:val="24"/>
          <w:szCs w:val="24"/>
          <w:lang w:eastAsia="sr-Latn-RS"/>
        </w:rPr>
        <w:t xml:space="preserve">2) Primena SKŽS za metale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Primena SKŽS za metale vrši se poređenjem vrednosti za metale dobijenih monitoringom sa odgovarajućim SKŽS posebno uzimajući u obzir sledeće: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1) prirodni nivo koncentracije za metale i njihova jedinjenja, ako one nisu u saglasnosti sa vrednostima SKŽS; i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2) tvrdoću, pH, rastvoreni ugljenik organskog porekla i druge parametre kvaliteta vode koji utiču na bioraspoloživost metala. </w:t>
      </w:r>
    </w:p>
    <w:p w:rsidR="00AC3BCE" w:rsidRPr="00AC3BCE" w:rsidRDefault="00AC3BCE" w:rsidP="00AC3BCE">
      <w:pPr>
        <w:spacing w:before="240" w:after="240" w:line="240" w:lineRule="auto"/>
        <w:jc w:val="center"/>
        <w:rPr>
          <w:rFonts w:ascii="Arial" w:eastAsia="Times New Roman" w:hAnsi="Arial" w:cs="Arial"/>
          <w:i/>
          <w:iCs/>
          <w:sz w:val="24"/>
          <w:szCs w:val="24"/>
          <w:lang w:eastAsia="sr-Latn-RS"/>
        </w:rPr>
      </w:pPr>
      <w:r w:rsidRPr="00AC3BCE">
        <w:rPr>
          <w:rFonts w:ascii="Arial" w:eastAsia="Times New Roman" w:hAnsi="Arial" w:cs="Arial"/>
          <w:i/>
          <w:iCs/>
          <w:sz w:val="24"/>
          <w:szCs w:val="24"/>
          <w:lang w:eastAsia="sr-Latn-RS"/>
        </w:rPr>
        <w:t xml:space="preserve">3) Primena PGK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Prosečna vrednost koncentracija pojedine prioritetne supstance ili grupe prioritetnih supstanci se izračunava kao aritmetička sredina koncentracija pojedine prioritetne supstance ili grupe prioritetnih supstanci izmerenih u različitim periodima u toku godine za svako reprezentativno merno mesto monitoringa u vodnom telu površinske vode i poredi se sa PGK vrednostima datim u Prilogu, - 1. Standardi kvaliteta životne sredine.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Minimalan broj merenja u toku jedne kalendarske godine je 12 merenja.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Izuzetno broj merenja može da bude i manji u slučaju ako se to može opravdati na osnovu tehničkog znanja i stručnog mišljenja, a obrazloženje se navodi u Godišnjem izveštaju o stanju i promenama kvaliteta voda. </w:t>
      </w:r>
    </w:p>
    <w:p w:rsidR="00AC3BCE" w:rsidRPr="00AC3BCE" w:rsidRDefault="00AC3BCE" w:rsidP="00AC3BCE">
      <w:pPr>
        <w:spacing w:before="240" w:after="240" w:line="240" w:lineRule="auto"/>
        <w:jc w:val="center"/>
        <w:rPr>
          <w:rFonts w:ascii="Arial" w:eastAsia="Times New Roman" w:hAnsi="Arial" w:cs="Arial"/>
          <w:i/>
          <w:iCs/>
          <w:sz w:val="24"/>
          <w:szCs w:val="24"/>
          <w:lang w:eastAsia="sr-Latn-RS"/>
        </w:rPr>
      </w:pPr>
      <w:r w:rsidRPr="00AC3BCE">
        <w:rPr>
          <w:rFonts w:ascii="Arial" w:eastAsia="Times New Roman" w:hAnsi="Arial" w:cs="Arial"/>
          <w:i/>
          <w:iCs/>
          <w:sz w:val="24"/>
          <w:szCs w:val="24"/>
          <w:lang w:eastAsia="sr-Latn-RS"/>
        </w:rPr>
        <w:t xml:space="preserve">4) Monitoring osnovnog (nultog) nivoa </w:t>
      </w:r>
    </w:p>
    <w:p w:rsidR="00AC3BCE" w:rsidRPr="00AC3BCE" w:rsidRDefault="00AC3BCE" w:rsidP="00AC3BCE">
      <w:pPr>
        <w:spacing w:before="100" w:beforeAutospacing="1" w:after="100" w:afterAutospacing="1" w:line="240" w:lineRule="auto"/>
        <w:rPr>
          <w:rFonts w:ascii="Arial" w:eastAsia="Times New Roman" w:hAnsi="Arial" w:cs="Arial"/>
          <w:lang w:eastAsia="sr-Latn-RS"/>
        </w:rPr>
      </w:pPr>
      <w:r w:rsidRPr="00AC3BCE">
        <w:rPr>
          <w:rFonts w:ascii="Arial" w:eastAsia="Times New Roman" w:hAnsi="Arial" w:cs="Arial"/>
          <w:lang w:eastAsia="sr-Latn-RS"/>
        </w:rPr>
        <w:t xml:space="preserve">Monitoring osnovnog (nultog) nivoa se sprovodi radi utvrđivanja osnovnog (polaznog) nivoa koncentracija prioritetnih supstanci u površinskim vodama. On je polazna osnova za dalje </w:t>
      </w:r>
      <w:r w:rsidRPr="00AC3BCE">
        <w:rPr>
          <w:rFonts w:ascii="Arial" w:eastAsia="Times New Roman" w:hAnsi="Arial" w:cs="Arial"/>
          <w:lang w:eastAsia="sr-Latn-RS"/>
        </w:rPr>
        <w:lastRenderedPageBreak/>
        <w:t xml:space="preserve">praćenje nivoa prioritetnih supstanci i usklađivanja sa propisanim SKŽS i preduzimanje mera iz Plana zaštite voda od zagađivanja. </w:t>
      </w:r>
    </w:p>
    <w:p w:rsidR="00AC3BCE" w:rsidRDefault="00AC3BCE"/>
    <w:sectPr w:rsidR="00AC3BC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CE"/>
    <w:rsid w:val="009A2C33"/>
    <w:rsid w:val="00A74BCE"/>
    <w:rsid w:val="00AC3B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AC3BCE"/>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AC3BCE"/>
    <w:rPr>
      <w:rFonts w:ascii="Times New Roman" w:eastAsia="Times New Roman" w:hAnsi="Times New Roman" w:cs="Times New Roman"/>
      <w:b/>
      <w:bCs/>
      <w:sz w:val="24"/>
      <w:szCs w:val="24"/>
      <w:lang w:eastAsia="sr-Latn-RS"/>
    </w:rPr>
  </w:style>
  <w:style w:type="paragraph" w:customStyle="1" w:styleId="clan">
    <w:name w:val="clan"/>
    <w:basedOn w:val="Normal"/>
    <w:rsid w:val="00AC3BCE"/>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AC3BCE"/>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AC3BC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stepen">
    <w:name w:val="stepen"/>
    <w:basedOn w:val="Normal"/>
    <w:rsid w:val="00AC3BC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normalcentar">
    <w:name w:val="normalcentar"/>
    <w:basedOn w:val="Normal"/>
    <w:rsid w:val="00AC3BCE"/>
    <w:pPr>
      <w:spacing w:before="100" w:beforeAutospacing="1" w:after="100" w:afterAutospacing="1" w:line="240" w:lineRule="auto"/>
      <w:jc w:val="center"/>
    </w:pPr>
    <w:rPr>
      <w:rFonts w:ascii="Arial" w:eastAsia="Times New Roman" w:hAnsi="Arial" w:cs="Arial"/>
      <w:lang w:eastAsia="sr-Latn-RS"/>
    </w:rPr>
  </w:style>
  <w:style w:type="paragraph" w:customStyle="1" w:styleId="wyq050---odeljak">
    <w:name w:val="wyq050---odeljak"/>
    <w:basedOn w:val="Normal"/>
    <w:rsid w:val="00AC3BCE"/>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AC3BC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AC3BCE"/>
    <w:pPr>
      <w:spacing w:before="240" w:after="240" w:line="240" w:lineRule="auto"/>
      <w:jc w:val="center"/>
    </w:pPr>
    <w:rPr>
      <w:rFonts w:ascii="Arial" w:eastAsia="Times New Roman" w:hAnsi="Arial" w:cs="Arial"/>
      <w:i/>
      <w:iCs/>
      <w:sz w:val="24"/>
      <w:szCs w:val="24"/>
      <w:lang w:eastAsia="sr-Latn-RS"/>
    </w:rPr>
  </w:style>
  <w:style w:type="character" w:customStyle="1" w:styleId="simboli1">
    <w:name w:val="simboli1"/>
    <w:basedOn w:val="Podrazumevanifontpasusa"/>
    <w:rsid w:val="00AC3BCE"/>
    <w:rPr>
      <w:rFonts w:ascii="Symbol" w:hAnsi="Symbol" w:hint="default"/>
      <w:sz w:val="22"/>
      <w:szCs w:val="22"/>
    </w:rPr>
  </w:style>
  <w:style w:type="character" w:customStyle="1" w:styleId="stepen1">
    <w:name w:val="stepen1"/>
    <w:basedOn w:val="Podrazumevanifontpasusa"/>
    <w:rsid w:val="00AC3BCE"/>
    <w:rPr>
      <w:sz w:val="15"/>
      <w:szCs w:val="15"/>
      <w:vertAlign w:val="superscript"/>
    </w:rPr>
  </w:style>
  <w:style w:type="character" w:customStyle="1" w:styleId="indeks1">
    <w:name w:val="indeks1"/>
    <w:basedOn w:val="Podrazumevanifontpasusa"/>
    <w:rsid w:val="00AC3BCE"/>
    <w:rPr>
      <w:sz w:val="15"/>
      <w:szCs w:val="15"/>
      <w:vertAlign w:val="subscript"/>
    </w:rPr>
  </w:style>
  <w:style w:type="paragraph" w:styleId="Naslov">
    <w:name w:val="Title"/>
    <w:basedOn w:val="Normal"/>
    <w:next w:val="Normal"/>
    <w:link w:val="NaslovChar"/>
    <w:uiPriority w:val="10"/>
    <w:qFormat/>
    <w:rsid w:val="009A2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9A2C3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9A2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9A2C3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AC3BCE"/>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AC3BCE"/>
    <w:rPr>
      <w:rFonts w:ascii="Times New Roman" w:eastAsia="Times New Roman" w:hAnsi="Times New Roman" w:cs="Times New Roman"/>
      <w:b/>
      <w:bCs/>
      <w:sz w:val="24"/>
      <w:szCs w:val="24"/>
      <w:lang w:eastAsia="sr-Latn-RS"/>
    </w:rPr>
  </w:style>
  <w:style w:type="paragraph" w:customStyle="1" w:styleId="clan">
    <w:name w:val="clan"/>
    <w:basedOn w:val="Normal"/>
    <w:rsid w:val="00AC3BCE"/>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AC3BCE"/>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AC3BC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stepen">
    <w:name w:val="stepen"/>
    <w:basedOn w:val="Normal"/>
    <w:rsid w:val="00AC3BC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normalcentar">
    <w:name w:val="normalcentar"/>
    <w:basedOn w:val="Normal"/>
    <w:rsid w:val="00AC3BCE"/>
    <w:pPr>
      <w:spacing w:before="100" w:beforeAutospacing="1" w:after="100" w:afterAutospacing="1" w:line="240" w:lineRule="auto"/>
      <w:jc w:val="center"/>
    </w:pPr>
    <w:rPr>
      <w:rFonts w:ascii="Arial" w:eastAsia="Times New Roman" w:hAnsi="Arial" w:cs="Arial"/>
      <w:lang w:eastAsia="sr-Latn-RS"/>
    </w:rPr>
  </w:style>
  <w:style w:type="paragraph" w:customStyle="1" w:styleId="wyq050---odeljak">
    <w:name w:val="wyq050---odeljak"/>
    <w:basedOn w:val="Normal"/>
    <w:rsid w:val="00AC3BCE"/>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AC3BC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AC3BCE"/>
    <w:pPr>
      <w:spacing w:before="240" w:after="240" w:line="240" w:lineRule="auto"/>
      <w:jc w:val="center"/>
    </w:pPr>
    <w:rPr>
      <w:rFonts w:ascii="Arial" w:eastAsia="Times New Roman" w:hAnsi="Arial" w:cs="Arial"/>
      <w:i/>
      <w:iCs/>
      <w:sz w:val="24"/>
      <w:szCs w:val="24"/>
      <w:lang w:eastAsia="sr-Latn-RS"/>
    </w:rPr>
  </w:style>
  <w:style w:type="character" w:customStyle="1" w:styleId="simboli1">
    <w:name w:val="simboli1"/>
    <w:basedOn w:val="Podrazumevanifontpasusa"/>
    <w:rsid w:val="00AC3BCE"/>
    <w:rPr>
      <w:rFonts w:ascii="Symbol" w:hAnsi="Symbol" w:hint="default"/>
      <w:sz w:val="22"/>
      <w:szCs w:val="22"/>
    </w:rPr>
  </w:style>
  <w:style w:type="character" w:customStyle="1" w:styleId="stepen1">
    <w:name w:val="stepen1"/>
    <w:basedOn w:val="Podrazumevanifontpasusa"/>
    <w:rsid w:val="00AC3BCE"/>
    <w:rPr>
      <w:sz w:val="15"/>
      <w:szCs w:val="15"/>
      <w:vertAlign w:val="superscript"/>
    </w:rPr>
  </w:style>
  <w:style w:type="character" w:customStyle="1" w:styleId="indeks1">
    <w:name w:val="indeks1"/>
    <w:basedOn w:val="Podrazumevanifontpasusa"/>
    <w:rsid w:val="00AC3BCE"/>
    <w:rPr>
      <w:sz w:val="15"/>
      <w:szCs w:val="15"/>
      <w:vertAlign w:val="subscript"/>
    </w:rPr>
  </w:style>
  <w:style w:type="paragraph" w:styleId="Naslov">
    <w:name w:val="Title"/>
    <w:basedOn w:val="Normal"/>
    <w:next w:val="Normal"/>
    <w:link w:val="NaslovChar"/>
    <w:uiPriority w:val="10"/>
    <w:qFormat/>
    <w:rsid w:val="009A2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9A2C3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9A2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9A2C3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2014-03-06T23:04:00Z</dcterms:created>
  <dcterms:modified xsi:type="dcterms:W3CDTF">2019-01-22T08:35:00Z</dcterms:modified>
</cp:coreProperties>
</file>