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2" w:rsidRPr="00E11202" w:rsidRDefault="00E11202" w:rsidP="00E11202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E11202">
        <w:rPr>
          <w:rFonts w:eastAsia="Times New Roman"/>
          <w:lang w:eastAsia="sr-Latn-RS"/>
        </w:rPr>
        <w:t>PRAVILNIK</w:t>
      </w:r>
    </w:p>
    <w:p w:rsidR="00E11202" w:rsidRPr="00E11202" w:rsidRDefault="00E11202" w:rsidP="00E11202">
      <w:pPr>
        <w:pStyle w:val="Naslov"/>
        <w:jc w:val="center"/>
        <w:rPr>
          <w:rFonts w:eastAsia="Times New Roman"/>
          <w:lang w:eastAsia="sr-Latn-RS"/>
        </w:rPr>
      </w:pPr>
      <w:r w:rsidRPr="00E11202">
        <w:rPr>
          <w:rFonts w:eastAsia="Times New Roman"/>
          <w:lang w:eastAsia="sr-Latn-RS"/>
        </w:rPr>
        <w:t>O LISTI OPASNIH MATERIJA I NJIHOVIM KOLIČINAMA I KRITERIJUMIMA ZA ODREĐIVANJE VRSTE DOKUMENTA KOJE IZRAĐUJE OPERATER SEVESO POSTROJENJA, ODNOSNO KOMPLEKSA</w:t>
      </w:r>
    </w:p>
    <w:p w:rsidR="00E11202" w:rsidRDefault="00E11202" w:rsidP="00E11202">
      <w:pPr>
        <w:pStyle w:val="Podnaslov"/>
        <w:jc w:val="center"/>
        <w:rPr>
          <w:rFonts w:eastAsia="Times New Roman"/>
          <w:lang w:eastAsia="sr-Latn-RS"/>
        </w:rPr>
      </w:pPr>
      <w:r w:rsidRPr="00E11202">
        <w:rPr>
          <w:rFonts w:eastAsia="Times New Roman"/>
          <w:lang w:eastAsia="sr-Latn-RS"/>
        </w:rPr>
        <w:t>("Sl. glasnik RS", br. 41/2010, 51/2015 i 50/2018)</w:t>
      </w:r>
    </w:p>
    <w:p w:rsidR="00E11202" w:rsidRDefault="00E11202" w:rsidP="00E112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250792" w:rsidRPr="00250792" w:rsidRDefault="00250792" w:rsidP="00E112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  <w:bookmarkStart w:id="1" w:name="_GoBack"/>
      <w:bookmarkEnd w:id="1"/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Ovim pravilnikom propisuje se Lista opasnih materija i njihove količine i kriterijumi za određivanje vrste dokumenata koje izrađuje operater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postrojenja, odnosno kompleksa u kome se obavljaju aktivnosti u kojima je prisutna ili može biti prisutna jedna ili više opasnih materija. 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Kriterijumi za izradu dokumenata Politika prevencije udesa ili Izveštaj o bezbednosti i Plan zaštite od udesa se određuju u skladu sa Listom opasnih materija i njihovih graničnih količina i Listom kategorija opasnih materija i njihovih graničnih količina (u daljem tekstu: Lista), koje su odštampane uz ovaj pravilnik i čine njegov sastavni deo.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Politiku prevencije udesa izrađuje operater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postrojenja, odnosno kompleksa u kome se obavljaju aktivnosti u kojima je prisutna ili može biti prisutna jedna ili više: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1) opasnih materija u količinama jednakim ili većim od količina navedenih u Listi, Tabela I, kolona 1, ovog pravilnika, ili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2) opasnih materija klasifikovanih u neku od klasa opasnosti iz Liste, Tabele II ovog pravilnika u količinama jednakim ili većim od količina navedenih u Listi, Tabela II, kolona 1 ovog pravilnika.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Politiku prevencije udesa izrađuje i operater koji obavlja aktivnosti u kojima je prisutna ili može biti prisutna jedna ili više opasnih materija u količinama manjim od količina propisanih u članu 3. ovog pravilnika, ukoliko proceni da je zbog lokacije, prirode opasnih materija i opasnih aktivnosti povećana verovatnoća nastanka udesa i mogućih posledica. 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5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Izveštaj o bezbednosti i Plan zaštite od udesa izrađuje operater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postrojenja, odnosno kompleksa u kome se obavljaju aktivnosti u kojima je prisutna ili može biti prisutna jedna ili više: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1) opasnih materija u količinama jednakim ili većim od količina navedenih u Listi, Tabela I, kolona 2. ovog pravilnika, ili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2) opasnih materija klasifikovanih u neku od klasa opasnosti iz Liste, Tabela II u količinama jednakim ili većim od količina navedenih u Tabeli II, koloni 2. ovog pravilnika.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Pored kriterijuma navedenih u članu 3. i članu 5. ovog pravilnika, koriste se i dodatni kriterijumi, u slučaju kada ni jedna od opasnih materija u postrojenju nije prisutna u količinama jednakim ili većim od navedenih u Listi ovog pravilnika.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Ako je zbir: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Σ q (i)/QUI = q1/QU1 + q2/QU2 + q3/QU3 + q4/QU4 + q5/QU5 +... ≥ 1,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gde je q (i) - količina opasne materije (i) u postrojenju i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QUI - propisana granična količina za opasne materije iz Liste u tabeli I ili tabeli II, kolona 2 ovog pravilnika, operater ima obavezu izrade Izveštaja o bezbednosti i Plana zaštite od udesa.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Ako je zbir: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Σ q (i)/QLI = q1/QL1 + q2/QL2 + q3/QL3 + q4/QL4 + q5/QL5 +... ≥ 1,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gde je q(i) - količina opasne materije (i) u postrojenju i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QLI - propisana granična količina za opasne materije iz Liste, tabela I ili tabela II, kolona 1 ovog pravilnika, operater ima obavezu izrade Politike prevencije udesa.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pravilo se primenjuje tri puta, radi ocene opasnosti po zdravlje ljudi, fizičkih opasnosti i opasnosti po životnu sredinu, i to: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a) za sabiranje količina onih opasnih materija koje su navedene u Tabeli I ovog pravilnika i klasifikovane u klasu opasnosti: akutna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, kategorija 1, 2 ili 3 (inhalaciono) ili specifična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za ciljni organ - jednokratna izloženost (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Spec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.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toks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. - JI), kategorija 1, sa količinama onih opasnih materija koje su navedene u odeljku "H", stavke od "H1" do "H3" u Tabeli II ovog pravilnika;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b) za sabiranje količina onih opasnih materija koje su navedene u Tabeli I ovog pravilnika i klasifikovane u klasu opasnosti: eksplozivi, zapaljivi gasovi, zapaljivi aerosoli,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oksidujući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gasovi, zapaljive tečnosti,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samoreaktivne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supstance i smeše, organski peroksidi,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samozapaljive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tečnosti i čvrste supstance,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oksidujuće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tečnosti i čvrste supstance, sa količinama onih opasnih materija koje su navedene u odeljku "P", stavke od "P1" do "P8" u Tabeli II ovog pravilnika;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lastRenderedPageBreak/>
        <w:t>v) za sabiranje količina onih opasnih materija koje su navedene u Tabeli I ovog pravilnika i klasifikovane u klasu opasnost po vodenu životnu sredinu, kategorija Akutno 1, kategorija Hronično 1 ili kategorija Hronično 2, sa količinama onih opasnih materija koje su navedene u odeljku "E", stavke "E1" i "E2", u Tabeli II ovog pravilnika.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Pripadajuće odredbe ovog pravilnika primenjuju se, ako je bilo koji od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zbirova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dobijenih iz a), b) ili v) veći ili jednak 1. 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Količine opasnih materija na osnovu kojih se određuju obaveze operatera iz člana 1. ovog pravilnika su maksimalne količine koje su prisutne ili mogu biti prisutne u bilo kom trenutku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kompleksu. Kada je opasna materija smeštena na više mesta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kompleksu, pojedinačne količine te vrste opasne materije se sabiraju. Ovaj zbir je polazna količina opasne materije na osnovu koje se određuje vrsta dokumenta koje izrađuje operater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postrojenja, odnosno kompleksa. Opasna materija koja je prisutna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kompleksu, samo u količinama jednakim ili manjim od 2% od odgovarajuće granične količine date u Listi ovog pravilnika, zanemariće se pri izračunavanju maksimalne količine opasnih materija koje su prisutne ili mogu biti prisutne, ako je njeno mesto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 takvo da ne može biti pokretač udesa bilo gde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kompleksu.</w:t>
      </w:r>
    </w:p>
    <w:p w:rsidR="00250792" w:rsidRPr="00250792" w:rsidRDefault="00250792" w:rsidP="0025079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25079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250792" w:rsidRPr="00250792" w:rsidRDefault="00250792" w:rsidP="002507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25079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250792" w:rsidRPr="00250792" w:rsidRDefault="00250792" w:rsidP="002507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9" w:name="str_1"/>
      <w:bookmarkEnd w:id="9"/>
      <w:r w:rsidRPr="00250792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LISTA OPASNIH MATERIJA I NJIHOVIH GRANIČNIH KOLIČINA I LISTA KATEGORIJA OPASNIH MATERIJA I NJIHOVIH GRANIČNIH KOLIČINA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Supstance i smeše, odnosno opasne materije klasifikuju se u skladu sa Zakonom o hemikalijama ("Službeni glasnik RS", br. 36/09, 88/10, 92/11, 93/12 i 25/15) i propisima donetim na osnovu ovog zakona.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Smeša se tretira na isti način kao supstanca, pod uslovom da je u okviru graničnih koncentracija propisanih prema njenim svojstvima koja su predmet propisa kojima se uređuju klasifikacija, pakovanje i obeležavanje hemikalija, osim kada je posebno naveden njen procentualni sastav ili drugi opis.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Supstance i smeše, odnosno opasne materije na koje se ne primenjuju propisi o klasifikaciji, pakovanju i obeležavanju hemikalija, uključujući otpad, ali koje su prisutne ili mogu biti prisutne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 i koje, pod uslovima koji postoje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seveso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postrojenju, odnosno kompleksu, imaju ili mogu imati ista svojstva u pogledu mogućnosti izazivanja udesa, uslovno se svrstavaju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najsličniju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kategoriju opasnosti ili imenovanu opasnu materiju, koja je propisana ovim pravilnikom.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Kada je supstanca ili smeša, odnosno opasna materija klasifikovana u više klasa i/ili kategorija opasnosti kojima odgovaraju različite granične količine, primenjuje se najniža granična količina propisana ovim pravilnikom. Međutim, prilikom primene dodatnih kriterijuma </w:t>
      </w:r>
      <w:r w:rsidRPr="00250792">
        <w:rPr>
          <w:rFonts w:ascii="Arial" w:eastAsia="Times New Roman" w:hAnsi="Arial" w:cs="Arial"/>
          <w:lang w:eastAsia="sr-Latn-RS"/>
        </w:rPr>
        <w:lastRenderedPageBreak/>
        <w:t xml:space="preserve">iz člana 6. ovog pravilnika, primenjuje se najniža granična količina za svaku grupu kategorija iz člana 6. stav 4(a), 4(b) i 4(v), propisana za odgovarajuću klasifikaciju. </w:t>
      </w:r>
    </w:p>
    <w:p w:rsidR="00250792" w:rsidRPr="00250792" w:rsidRDefault="00250792" w:rsidP="002507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0" w:name="str_2"/>
      <w:bookmarkEnd w:id="10"/>
      <w:r w:rsidRPr="0025079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Tabela I. </w:t>
      </w:r>
    </w:p>
    <w:p w:rsidR="00250792" w:rsidRPr="00250792" w:rsidRDefault="00250792" w:rsidP="002507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25079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LISTA OPASNIH MATERIJA I NJIHOVIH GRANIČNIH KOLIČINA </w:t>
      </w:r>
    </w:p>
    <w:p w:rsidR="00250792" w:rsidRPr="00250792" w:rsidRDefault="00250792" w:rsidP="002507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25079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6088"/>
        <w:gridCol w:w="1186"/>
        <w:gridCol w:w="746"/>
        <w:gridCol w:w="746"/>
      </w:tblGrid>
      <w:tr w:rsidR="00250792" w:rsidRPr="00250792" w:rsidTr="00250792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R. br. </w:t>
            </w:r>
          </w:p>
        </w:tc>
        <w:tc>
          <w:tcPr>
            <w:tcW w:w="4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Opasne materije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CAS broj</w:t>
            </w:r>
            <w:r w:rsidRPr="0025079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</w:t>
            </w:r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Granična količina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(u tonama)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Kolona 1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Kolona 2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Amonijum nitrat (vidi napomenu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Amonijum nitrat (vidi napomenu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Amonijum nitrat (vidi napomenu 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2 500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Amonijum nitrat (vidi napomenu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Kalijum nitrat (vidi napomenu 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Kalijum nitrat (vidi napomenu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Arsen pentoksid,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arsenatna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(V) kiselina i/ili njene soli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1303-28-2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Arsen trioksid,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arsenitna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(III) kiselina i/ili njene soli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1327-53-3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Brom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7726-95-6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Hlor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7782-50-5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25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Jedinjenja nikla u obliku praha koja se mogu udahnuti: nikl monoksid, nikl dioksid, nikl sulfid,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trinikl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disulfid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dinikltrioksid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Etilenimin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151-56-4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Fluor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7782-41-4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(koncentracija ≥ 90%)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50-00-0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Vodonik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1333-74-0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Hlorovodonik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(tečni gas)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7647-01-0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Alkili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olova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Tečni zapaljivi gasovi, kategorija 1 ili 2 (uključujući TNG) i prirodni gas (vidi napomenu 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Acetilen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74-86-2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75-21-8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Propilen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75-56-9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Metanol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67-56-1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4,4’-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metilen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-bis-(2-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hloranilin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i/ili njegove soli, u obliku praha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101-14-4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Metil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izocijanat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624-83-9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0,15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Kiseonik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7782-44-7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2,4-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diizocijanat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2,6-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diizocijanat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584-84-9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91-08-7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Karbonildihlorid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(fozgen)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75-44-5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0,75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Arsin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(Arsen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trihidrid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7784-42-1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Fosfin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(fosfor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trihidrid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7803-51-2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Sumpor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dihlorid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10545-99-0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Sumpor trioksid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7446-11-9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75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dibenzofurani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dibenzodioksini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(uključujući TCDD), izraženi kao ekvivalent TCDD (vidi napomenu 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0,001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Sledeći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karcinogeni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ili smeše koje sadrže sledeće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karcinogene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u koncentracijama iznad 5%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masenih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: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>4-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Aminobifenil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i/ili njegove soli,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Benzotrihlorid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Benzidin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i/ili soli, Bis (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hlormetil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etar,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Hlormetil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metil etar, 1,2-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Dibrometan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Dietil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sulfat,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Dimetil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sulfat,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Dimetilkarbamoil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hlorid, 1,2-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Dibrom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-3-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hlorpropan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,1,2-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Dimetilhidrazin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Dimetilnitrozamin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Heksametilfosfor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triamid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Hidrazin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,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>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Naftilamin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i/ili soli, 4-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Nitrodifenil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 1,3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Propansulton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Derivati nafte i alternativna goriva: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a) benzini i primarni benzini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>b) kerozini (uključujući goriva za mlazne avione)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>v) gasna ulja (uključujući dizel gorivo, ulja za loženje u domaćinstvu i mešavine gasnih ulja)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>g) teška ulja za loženje;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d) alternativna goriva koja služe za iste namene i sa sličnim svojstvima u pogledu zapaljivosti i opasnosti po životnu sredinu kao i proizvodi iz tačaka a) do 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25 000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Amonijak, bezvodni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7664-41-7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Bor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trifluorid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7637-07-2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Vodonik sulfid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7783-06-4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Piperidin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110-89-4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Bis (2-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dimetilaminoetil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(metil) 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3030-47-5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3-(2-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Etilheksiloksi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propilamin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5397-31-9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Smeše (*) natrijum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hipohlorita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klasifikovane kao opasnost po vodenu životnu sredinu, kategorija Akutno 1&lt;0} {0&gt;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Acute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Category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1 [H400]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containing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less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than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5 %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active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chlorine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and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not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classified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under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any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of the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other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hazard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categories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in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Part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1 of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Annex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I..&lt;}0{&gt;[H400], koje sadrže manje od 5% aktivnog hlora i nisu klasifikovane ni u jednu drugu kategoriju opasnosti navedenu u Tabeli II Pravilnika. </w:t>
            </w:r>
          </w:p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________________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(*)Pod uslovom da smeša u odsustvu natrijum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hipohlorita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ne bi bila klasifikovana kao opasnost po vodenu životnu sredinu, kategorija Akutno [H400]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Propilamin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107-10-8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Terc-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akrilat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1663-39-4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2-Metil-3-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butennitril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16529-56-9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Tetrahidro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-3,5-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dimetil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-1,3,5,-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tiadiazin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>-2-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tion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dazomet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533-74-4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Metil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akrilat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96-33-3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3-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Metilpiridin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108-99-6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1-Brom-3-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hlorpropan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(vidi napomenu 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109-70-6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CAS broj je naveden indikativno </w:t>
            </w:r>
          </w:p>
        </w:tc>
      </w:tr>
    </w:tbl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NAPOMENE za Tabelu I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lastRenderedPageBreak/>
        <w:t xml:space="preserve">1. Amonijum nitrat (5000/10000): đubriva koja imaju sposobnost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samoodržive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razgradnje.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se primenjuje na složena/kombinovana đubriva na bazi amonijum nitrata (složena/kombinovana đubriva sadrže amonijum nitrat sa fosfatom i/ili potašom) koja imaju sposobnost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samoodržive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razgradnje prema UN ispitivanju u koritu (vidi UN Priručnik o ispitivanjima i kriterijumima, Deo III.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pododeljak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38.2.), i kod kojih je sadržaj azota koji potiče od amonijum nitrata: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a) između 15,75%</w:t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</w:t>
      </w:r>
      <w:r w:rsidRPr="00250792">
        <w:rPr>
          <w:rFonts w:ascii="Arial" w:eastAsia="Times New Roman" w:hAnsi="Arial" w:cs="Arial"/>
          <w:lang w:eastAsia="sr-Latn-RS"/>
        </w:rPr>
        <w:t xml:space="preserve"> i 24,5%</w:t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</w:t>
      </w:r>
      <w:r w:rsidRPr="0025079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i koja ili ne sadrže više od 0,4% ukupno zapaljivih/organskih materija ili koja imaju odgovarajuću otpornost na detonaciju u skladu sa propisima o amonijum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nitratnim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đubrivima sa visokim sadržajem azota;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b) 15,75%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ili manje i neograničen sadržaj zapaljivih materija.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2. Amonijum nitrat (1250/5000): kvaliteta kao za đubriva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se primenjuje na prosta đubriva na bazi amonijum nitrata i na složena/kombinovana đubriva na bazi amonijum nitrata koja imaju odgovarajuću otpornost na detonaciju u skladu sa propisima o amonijum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nitratnim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đubrivima sa visokim sadržajem azota i kod kojih je udeo azota koji potiče od amonijum nitrata: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a) više od 24,5%,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, osim za smeše prostih đubriva na bazi amonijum nitrata sa dolomitom, krečnjakom i/ili kalcijum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karbonatom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od najmanje 90% čistoće,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b) više od 15,75%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za smeše amonijum nitrata i amonijum sulfata,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v) više od 28%</w:t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3</w:t>
      </w:r>
      <w:r w:rsidRPr="0025079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za smeše prostih đubriva na bazi amonijum nitrata sa dolomitom, krečnjakom i/ili kalcijum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karbonatom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od najmanje 90% čistoće.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______________________</w:t>
      </w:r>
      <w:r w:rsidRPr="00250792">
        <w:rPr>
          <w:rFonts w:ascii="Arial" w:eastAsia="Times New Roman" w:hAnsi="Arial" w:cs="Arial"/>
          <w:lang w:eastAsia="sr-Latn-RS"/>
        </w:rPr>
        <w:br/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</w:t>
      </w:r>
      <w:r w:rsidRPr="00250792">
        <w:rPr>
          <w:rFonts w:ascii="Arial" w:eastAsia="Times New Roman" w:hAnsi="Arial" w:cs="Arial"/>
          <w:lang w:eastAsia="sr-Latn-RS"/>
        </w:rPr>
        <w:t xml:space="preserve"> </w:t>
      </w:r>
      <w:r w:rsidRPr="00250792">
        <w:rPr>
          <w:rFonts w:ascii="Arial" w:eastAsia="Times New Roman" w:hAnsi="Arial" w:cs="Arial"/>
          <w:i/>
          <w:iCs/>
          <w:lang w:eastAsia="sr-Latn-RS"/>
        </w:rPr>
        <w:t xml:space="preserve">udeo azota 15,75% </w:t>
      </w:r>
      <w:proofErr w:type="spellStart"/>
      <w:r w:rsidRPr="00250792">
        <w:rPr>
          <w:rFonts w:ascii="Arial" w:eastAsia="Times New Roman" w:hAnsi="Arial" w:cs="Arial"/>
          <w:i/>
          <w:iCs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i/>
          <w:iCs/>
          <w:lang w:eastAsia="sr-Latn-RS"/>
        </w:rPr>
        <w:t xml:space="preserve"> koji potiče od amonijum-nitrata koji odgovara 45% amonijum-nitratu</w:t>
      </w:r>
      <w:r w:rsidRPr="00250792">
        <w:rPr>
          <w:rFonts w:ascii="Arial" w:eastAsia="Times New Roman" w:hAnsi="Arial" w:cs="Arial"/>
          <w:lang w:eastAsia="sr-Latn-RS"/>
        </w:rPr>
        <w:t xml:space="preserve"> </w:t>
      </w:r>
      <w:r w:rsidRPr="00250792">
        <w:rPr>
          <w:rFonts w:ascii="Arial" w:eastAsia="Times New Roman" w:hAnsi="Arial" w:cs="Arial"/>
          <w:lang w:eastAsia="sr-Latn-RS"/>
        </w:rPr>
        <w:br/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2 </w:t>
      </w:r>
      <w:r w:rsidRPr="00250792">
        <w:rPr>
          <w:rFonts w:ascii="Arial" w:eastAsia="Times New Roman" w:hAnsi="Arial" w:cs="Arial"/>
          <w:i/>
          <w:iCs/>
          <w:lang w:eastAsia="sr-Latn-RS"/>
        </w:rPr>
        <w:t xml:space="preserve">udeo azota 24,5% </w:t>
      </w:r>
      <w:proofErr w:type="spellStart"/>
      <w:r w:rsidRPr="00250792">
        <w:rPr>
          <w:rFonts w:ascii="Arial" w:eastAsia="Times New Roman" w:hAnsi="Arial" w:cs="Arial"/>
          <w:i/>
          <w:iCs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i/>
          <w:iCs/>
          <w:lang w:eastAsia="sr-Latn-RS"/>
        </w:rPr>
        <w:t xml:space="preserve"> koji potiče od amonijum-nitrata koji odgovara 70% amonijum-nitratu </w:t>
      </w:r>
      <w:r w:rsidRPr="00250792">
        <w:rPr>
          <w:rFonts w:ascii="Arial" w:eastAsia="Times New Roman" w:hAnsi="Arial" w:cs="Arial"/>
          <w:i/>
          <w:iCs/>
          <w:lang w:eastAsia="sr-Latn-RS"/>
        </w:rPr>
        <w:br/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3 </w:t>
      </w:r>
      <w:r w:rsidRPr="00250792">
        <w:rPr>
          <w:rFonts w:ascii="Arial" w:eastAsia="Times New Roman" w:hAnsi="Arial" w:cs="Arial"/>
          <w:i/>
          <w:iCs/>
          <w:lang w:eastAsia="sr-Latn-RS"/>
        </w:rPr>
        <w:t xml:space="preserve">udeo azota 28% </w:t>
      </w:r>
      <w:proofErr w:type="spellStart"/>
      <w:r w:rsidRPr="00250792">
        <w:rPr>
          <w:rFonts w:ascii="Arial" w:eastAsia="Times New Roman" w:hAnsi="Arial" w:cs="Arial"/>
          <w:i/>
          <w:iCs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i/>
          <w:iCs/>
          <w:lang w:eastAsia="sr-Latn-RS"/>
        </w:rPr>
        <w:t xml:space="preserve"> koji potiče od amonijum-nitrata koji odgovara 80% amonijum-nitratu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3 . Amonijum nitrat (350/2500): tehnički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se primenjuje na amonijum nitrat i smeše amonijum nitrata kod kojih je udeo azota koji potiče od amonijum nitrata: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a) između 24,5% i 28%,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i koji ne sadrži više od 0,4% zapaljivih supstanci,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b) više od 28%,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, i koji ne sadrži više od 0,2% zapaljivih supstanci.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Takođe se primenjuje na vodene rastvore amonijum nitrata u kojima je koncentracija amonijum nitrata veća od 80%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masenih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4. Amonijum nitrat (10/50): "</w:t>
      </w:r>
      <w:proofErr w:type="spellStart"/>
      <w:r w:rsidRPr="00250792">
        <w:rPr>
          <w:rFonts w:ascii="Arial" w:eastAsia="Times New Roman" w:hAnsi="Arial" w:cs="Arial"/>
          <w:lang w:eastAsia="sr-Latn-RS"/>
        </w:rPr>
        <w:t>nespecifični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" materijal i đubriva koja nemaju odgovarajuću otpornost na detonaciju.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se primenjuje na: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lastRenderedPageBreak/>
        <w:t xml:space="preserve">a) materijal koji se odbacuje u toku proizvodnog procesa i na amonijum-nitrat i smeše amonijum nitrata, prosta đubriva na bazi amonijum nitrata i složena đubriva na bazi amonijum nitrata označena u napomenama 2 i 3, koje krajnji korisnici vraćaju ili su vratili proizvođaču, privremenom skladištu ili postrojenju za ponovnu obradu, reciklažu ili tretman radi bezbedne upotrebe, jer više ne ispunjavaju uslove iz napomena 2 i 3;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b) đubriva iz napomena 1a) i 2 koja nemaju odgovarajuću otpornost na detonaciju.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5. Kalijum nitrat (5000/10000):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se primenjuje na kombinovana đubriva na bazi kalijum nitrata (u kuglicama/granulama), koja imaju ista opasna svojstva kao i čisti kalijum nitrat.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6. Kalijum nitrat (1250/5000):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Ovo se primenjuje na kombinovana đubriva na bazi kalijum nitrata (u obliku kristala), koja imaju ista opasna svojstva kao i čisti kalijum nitrat.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7. Prerađen biogas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Prerađen biogas se može klasifikovati pod redni broj 18. Tabela I, kada je obrađen u skladu sa važećim standardima za prečišćen i prerađen biogas, čime se obezbeđuje kvalitet koji je jednak kvalitetu prirodnog gasa, uključujući sadržaj metana, i koji sadrži maksimalno 1% kiseonika.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8.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Polihlorovani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dibenzofurani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polihlorovani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dibenzodioksini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Količine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polihlorovanih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dibenzofurana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polihlorovanih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dibenzodioksina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se izračunavaju korišćenjem sledećih faktora: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283"/>
        <w:gridCol w:w="3269"/>
        <w:gridCol w:w="1283"/>
      </w:tblGrid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WHO 2005 TEF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2,3,7,8-TCDD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2,3,7,8-TCDF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PeCDD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2,3,4,7,8-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PeCDF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1,2,3,7,8-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PeCDF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0,03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1,2,3,4,7,8-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1,2,3,6,7,8-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1,2,3,4,7,8-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1,2,3,7,8,9-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1,2,3,7,8,9-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1,2,3,6,7,8-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1,2,3,4,6,7,8-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HpCDD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2,3,4,6,7,8-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OCDD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1,2,3,4,6,7,8-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HpCDF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1,2,3,4,7,8,9-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HpCDF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5079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OCDF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0,0003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(T =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tetra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P = penta,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Hx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=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heksa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Hp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=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hepta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, O =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okta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Referenca - Van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den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Berg et al: The 2005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World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Health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Organisation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Re-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evaluation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of Human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and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Mammalian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Toxic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Equivalency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Factors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for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Dioxins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and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Dioxin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-like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Compounds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lastRenderedPageBreak/>
        <w:t xml:space="preserve">9. U slučajevima kada ova opasna materija potpada pod kategoriju P5a Zapaljive tečnosti ili P5b Zapaljive tečnosti, primenjuju se najmanje granične količine. </w:t>
      </w:r>
    </w:p>
    <w:p w:rsidR="00250792" w:rsidRPr="00250792" w:rsidRDefault="00250792" w:rsidP="002507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1" w:name="str_3"/>
      <w:bookmarkEnd w:id="11"/>
      <w:r w:rsidRPr="0025079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Tabela II. </w:t>
      </w:r>
    </w:p>
    <w:p w:rsidR="00250792" w:rsidRPr="00250792" w:rsidRDefault="00250792" w:rsidP="002507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25079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LISTA KATEGORIJA OPASNIH MATERIJA I NJIHOVIH GRANIČNIH KOLIČINA </w:t>
      </w:r>
    </w:p>
    <w:p w:rsidR="00250792" w:rsidRPr="00250792" w:rsidRDefault="00250792" w:rsidP="002507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25079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8"/>
        <w:gridCol w:w="1219"/>
        <w:gridCol w:w="1345"/>
      </w:tblGrid>
      <w:tr w:rsidR="00250792" w:rsidRPr="00250792" w:rsidTr="002507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Kategorije opasnosti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Granična količina (u tonama)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92" w:rsidRPr="00250792" w:rsidRDefault="00250792" w:rsidP="0025079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Kolona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Kolona 2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Odeljak "H" - OPASNOST PO ZDRAVLJE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"H1" AKUTNA TOKSIČNOST, kategorija 1, svi putevi izlaganja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"H2" AKUTNA TOKSIČNOST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kategorija 2, svi putevi izlaganja - kategorija 3, inhalaciono (vidi napomenu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"H3" SPECIFIČNA TOKSIČNOST ZA CILJNI ORGAN - JEDNOKRATNA IZLOŽENOST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Spec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toks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. - JI kategorija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Odeljak "P" - FIZIČKE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"P1a" EKSPLOZIVI (vidi napomenu 2)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Nestabilni eksplozivi ili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Eksplozivi,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podklasa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1.1, 1.2, 1.3, 1.5 ili 1.6, ili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Supstance ili smeše koje imaju eksplozivna svojstva prema metodi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A.14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koja je data u propisima kojima se uređuju metode ispitivanja opasnih svojstava hemikalija (vidi napomenu 3) i nisu klasifikovane u klasu opasnosti: organski peroksidi ili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samoreaktivne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supstance i smeše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"P1b" EKSPLOZIVI (vidi napomenu 2) Eksplozivi, </w:t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podklasa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1.4 (vidi napomenu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"P2" ZAPALJIVI GASOVI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Zapaljivi gasovi, kategorija 1 ili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"P3a" ZAPALJIVI AEROSOLI (vidi napomenu 5.1)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Zapaljivi aerosoli, kategorija 1 ili 2, koji sadrže zapaljive gasove, kategorija 1 ili 2 ili zapaljive tečnosti, kategorija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150 (neto)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(neto)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"P3b" ZAPALJIVI AEROSOLI (vidi napomenu 5.1)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Zapaljivi aerosoli, kategorija 1 ili 2, koji ne sadrže zapaljive gasove, kategorija 1 ili 2 niti zapaljive tečnosti, kategorija 1 (vidi napomenu 5.2)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5000 (neto)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50000 (neto)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"P4" OKSIDUJUĆI GASOVI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Oksidujući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gasovi, kategorija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"P5a" ZAPALJIVE TEČNOSTI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Zapaljive tečnosti, kategorija 1, ili - Zapaljive tečnosti, kategorija 2 ili 3 koje se održavaju na temperaturi iznad njihove tačke ključanja, ili - Druge tečnosti čija je tačka paljenja ≤ 60 °C, koje se održavaju na temperaturi iznad njihove tačke ključanja (vidi napomenu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"P5b" ZAPALJIVE TEČNOSTI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Zapaljive tečnosti, kategorija 2 ili 3 kod kojih posebni uslovi procesa, kao što su visok pritisak ili visoka temperatura, mogu stvoriti opasnosti od velikog udesa, ili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r w:rsidRPr="0025079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- Druge tečnosti sa tačkom paljenja ≤ 60 °C kod kojih posebni uslovi procesa, kao što su visok pritisak ili visoka temperatura, mogu stvoriti opasnosti od velikog udesa (vidi napomenu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"P5c" ZAPALJIVE TEČNOSTI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Zapaljive tečnosti, kategorija 2 ili 3, koje nisu obuhvaćene pod R5a ni R5b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"P6a" SAMOREAKTIVNE SUPSTANCE I SMEŠE i ORGANSKI PEROKSIDI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Samoreaktivne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supstance i smeše, tip A ili B, ili Organski peroksidi, tip A ili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"P6b" SAMOREAKTIVNE SUPSTANCE I SMEŠE i ORGANSKI PEROKSIDI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Camoreaktivne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supstance i smeše, tip C, D, E ili F ili Organski peroksidi, tip C, D, E ili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"P7" SAMOZAPALJIVE TEČNOSTI I ČVRSTE SUPSTANCE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Samozapaljive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tečnosti, kategorija 1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Samozapaljive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čvrste materije, kategorija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>"P8" OKSIDUJUĆE TEČNOSTI I ČVRSTE SUPSTANCE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Oksidujuće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tečnosti, kategorija 1, 2 i 3, ili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250792">
              <w:rPr>
                <w:rFonts w:ascii="Arial" w:eastAsia="Times New Roman" w:hAnsi="Arial" w:cs="Arial"/>
                <w:lang w:eastAsia="sr-Latn-RS"/>
              </w:rPr>
              <w:t>Oksidujuće</w:t>
            </w:r>
            <w:proofErr w:type="spellEnd"/>
            <w:r w:rsidRPr="00250792">
              <w:rPr>
                <w:rFonts w:ascii="Arial" w:eastAsia="Times New Roman" w:hAnsi="Arial" w:cs="Arial"/>
                <w:lang w:eastAsia="sr-Latn-RS"/>
              </w:rPr>
              <w:t xml:space="preserve"> čvrste supstance i smeše, kategorija 1, 2 i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Odeljak "E" - OPASNOST PO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"E1" OPASNOST PO VODENU ŽIVOTNU SREDINU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kategorija Akutno 1, ili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- kategorija Hronično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"E2" OPASNOST PO VODENU ŽIVOTNU SREDINU </w:t>
            </w:r>
            <w:r w:rsidRPr="00250792">
              <w:rPr>
                <w:rFonts w:ascii="Arial" w:eastAsia="Times New Roman" w:hAnsi="Arial" w:cs="Arial"/>
                <w:lang w:eastAsia="sr-Latn-RS"/>
              </w:rPr>
              <w:br/>
              <w:t xml:space="preserve">kategorija Hronično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Odeljak "O" - DODATNE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"O1" Supstance ili smeše kojima je dodeljeno dodatno obaveštenje o opasnosti EUH014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"O2" Supstance i smeše koje u kontaktu sa vodom oslobađaju zapaljive gasove, kategorija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</w:tr>
      <w:tr w:rsidR="00250792" w:rsidRPr="00250792" w:rsidTr="00250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"O3" Supstance ili smeše kojima je dodeljeno dodatno obaveštenje o opasnosti EUH029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92" w:rsidRPr="00250792" w:rsidRDefault="00250792" w:rsidP="002507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250792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</w:tbl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NAPOMENE za Tabelu II.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1. Opasne materije koje pripadaju klasi opasnosti akutna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, kategorija 3,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peroralno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(H 301), spadaju pod odeljak H2 AKUTNA TOKSIČNOST u onim slučajevima kada se ne mogu klasifikovati niti na osnovu akutne inhalacione toksičnosti, niti na osnovu akutne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dermalne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toksičnosti, na primer usled nedostatka ubedljivih podataka o inhalacionoj i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dermalnoj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toksičnosti.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2. Klasa opasnosti Eksplozivi obuhvata i eksplozivne proizvode, u skladu sa propisima kojima se uređuju hemikalije. Ako je količina eksplozivne supstance ili smeše u eksplozivnom proizvodu poznata, ta količina se uzima u obzir za potrebe ovog pravilnika. Ako količina eksplozivne supstance ili smeše u eksplozivnom proizvodu nije poznata, za potrebe ovog pravilnika ceo proizvod se tretira kao eksploziv.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3. Ispitivanje eksplozivnih svojstava supstanci i smeša je neophodno samo ako se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skrining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procedurom u skladu sa propisima kojima se uređuje klasifikacija hemikalija1 utvrdi da bi supstanca ili smeša mogla imati eksplozivna svojstva.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lastRenderedPageBreak/>
        <w:t xml:space="preserve">4. Ako je eksploziv koji je klasifikovan 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podklasu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1.4 raspakovan ili prepakovan, svrstava se pod odeljak P1a, osim ako se u skladu sa propisima kojima se uređuju hemikalije utvrdi da opasnost tog eksploziva još uvek odgovara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podklasi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1.4.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5.1 Zapaljivi aerosoli klasifikovani prema propisima kojima se uređuju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aerosolni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raspršivači kao "Veoma zapaljivi" i "zapaljivi" aerosoli, odgovaraju klasi opasnosti zapaljivi aerosoli, kategorija 1 ili 2, respektivno, prema propisima kojima se uređuju hemikalije.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5.2. Za korišćenje ovog odeljka mora se dokumentovati da </w:t>
      </w:r>
      <w:proofErr w:type="spellStart"/>
      <w:r w:rsidRPr="00250792">
        <w:rPr>
          <w:rFonts w:ascii="Arial" w:eastAsia="Times New Roman" w:hAnsi="Arial" w:cs="Arial"/>
          <w:lang w:eastAsia="sr-Latn-RS"/>
        </w:rPr>
        <w:t>aerosolni</w:t>
      </w:r>
      <w:proofErr w:type="spellEnd"/>
      <w:r w:rsidRPr="00250792">
        <w:rPr>
          <w:rFonts w:ascii="Arial" w:eastAsia="Times New Roman" w:hAnsi="Arial" w:cs="Arial"/>
          <w:lang w:eastAsia="sr-Latn-RS"/>
        </w:rPr>
        <w:t xml:space="preserve"> raspršivač ne sadrži zapaljivi gas, kategorija 1 ili 2, niti zapaljivu tečnost, kategorija 1.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 xml:space="preserve">6. U skladu sa propisom kojim se uređuje klasifikacija hemikalija, tečnosti sa tačkom paljenja višom od 35 °C ne moraju da budu klasifikovane u Kategoriju 3, ukoliko su ispunjeni uslovi iz tog propisa. Ovo međutim ne važi pod uslovima kao što su visoka temperatura ili pritisak i stoga su takve tečnosti obuhvaćene ovim odeljkom. </w:t>
      </w:r>
    </w:p>
    <w:p w:rsidR="00250792" w:rsidRPr="00250792" w:rsidRDefault="00250792" w:rsidP="002507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50792">
        <w:rPr>
          <w:rFonts w:ascii="Arial" w:eastAsia="Times New Roman" w:hAnsi="Arial" w:cs="Arial"/>
          <w:lang w:eastAsia="sr-Latn-RS"/>
        </w:rPr>
        <w:t>______________</w:t>
      </w:r>
      <w:r w:rsidRPr="00250792">
        <w:rPr>
          <w:rFonts w:ascii="Arial" w:eastAsia="Times New Roman" w:hAnsi="Arial" w:cs="Arial"/>
          <w:lang w:eastAsia="sr-Latn-RS"/>
        </w:rPr>
        <w:br/>
      </w:r>
      <w:r w:rsidRPr="00250792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</w:t>
      </w:r>
      <w:r w:rsidRPr="00250792">
        <w:rPr>
          <w:rFonts w:ascii="Arial" w:eastAsia="Times New Roman" w:hAnsi="Arial" w:cs="Arial"/>
          <w:lang w:eastAsia="sr-Latn-RS"/>
        </w:rPr>
        <w:t xml:space="preserve"> </w:t>
      </w:r>
      <w:r w:rsidRPr="00250792">
        <w:rPr>
          <w:rFonts w:ascii="Arial" w:eastAsia="Times New Roman" w:hAnsi="Arial" w:cs="Arial"/>
          <w:i/>
          <w:iCs/>
          <w:lang w:eastAsia="sr-Latn-RS"/>
        </w:rPr>
        <w:t xml:space="preserve">Detaljnija uputstva o izuzimanju od obaveze ispitivanja mogu se naći u propisima kojima se uređuju metode ispitivanja opasnih svojstava hemikalija (Metoda </w:t>
      </w:r>
      <w:proofErr w:type="spellStart"/>
      <w:r w:rsidRPr="00250792">
        <w:rPr>
          <w:rFonts w:ascii="Arial" w:eastAsia="Times New Roman" w:hAnsi="Arial" w:cs="Arial"/>
          <w:i/>
          <w:iCs/>
          <w:lang w:eastAsia="sr-Latn-RS"/>
        </w:rPr>
        <w:t>A.14</w:t>
      </w:r>
      <w:proofErr w:type="spellEnd"/>
      <w:r w:rsidRPr="00250792">
        <w:rPr>
          <w:rFonts w:ascii="Arial" w:eastAsia="Times New Roman" w:hAnsi="Arial" w:cs="Arial"/>
          <w:i/>
          <w:iCs/>
          <w:lang w:eastAsia="sr-Latn-RS"/>
        </w:rPr>
        <w:t xml:space="preserve">). </w:t>
      </w:r>
    </w:p>
    <w:p w:rsidR="00B72ABF" w:rsidRDefault="00B72ABF"/>
    <w:sectPr w:rsidR="00B72AB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92"/>
    <w:rsid w:val="00250792"/>
    <w:rsid w:val="00B72ABF"/>
    <w:rsid w:val="00E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25079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50792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25079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25079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25079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250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250792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25079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80---odsek">
    <w:name w:val="wyq080---odsek"/>
    <w:basedOn w:val="Normal"/>
    <w:rsid w:val="0025079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250792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E11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1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1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25079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50792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25079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25079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25079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250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250792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25079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80---odsek">
    <w:name w:val="wyq080---odsek"/>
    <w:basedOn w:val="Normal"/>
    <w:rsid w:val="0025079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250792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E11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1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1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2018-07-09T08:24:00Z</dcterms:created>
  <dcterms:modified xsi:type="dcterms:W3CDTF">2018-09-07T12:33:00Z</dcterms:modified>
</cp:coreProperties>
</file>