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9C" w:rsidRPr="000C609C" w:rsidRDefault="000C609C" w:rsidP="000C609C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0C609C">
        <w:rPr>
          <w:rFonts w:eastAsia="Times New Roman"/>
          <w:lang w:eastAsia="sr-Latn-RS"/>
        </w:rPr>
        <w:t>PRAVILNIK</w:t>
      </w:r>
    </w:p>
    <w:p w:rsidR="000C609C" w:rsidRPr="000C609C" w:rsidRDefault="000C609C" w:rsidP="000C609C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0C609C">
        <w:rPr>
          <w:rFonts w:eastAsia="Times New Roman"/>
          <w:sz w:val="34"/>
          <w:szCs w:val="34"/>
          <w:lang w:eastAsia="sr-Latn-RS"/>
        </w:rPr>
        <w:t>O ZAHTEVIMA ZA IMENOVANJE TELA ZA OCENJIVANJE I VERIFIKACIJU STALNOSTI PERFORMANSI</w:t>
      </w:r>
    </w:p>
    <w:p w:rsidR="000C609C" w:rsidRDefault="000C609C" w:rsidP="000C609C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A63FAE">
        <w:rPr>
          <w:rFonts w:eastAsia="Times New Roman"/>
          <w:lang w:eastAsia="sr-Latn-RS"/>
        </w:rPr>
        <w:t>("Sl. glasnik RS", br. 37/2019)</w:t>
      </w:r>
    </w:p>
    <w:p w:rsidR="00A63FAE" w:rsidRPr="00A63FAE" w:rsidRDefault="00A63FAE" w:rsidP="00A63F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A63FA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Ovim pravilnikom bliže se propisuju zahtevi za imenovanje tela za ocenjivanje i verifikaciju stalnosti performansi građevinskih proizvoda. </w:t>
      </w:r>
    </w:p>
    <w:p w:rsidR="00A63FAE" w:rsidRPr="00A63FAE" w:rsidRDefault="00A63FAE" w:rsidP="00A63F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A63FA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Telo za ocenjivanje i verifikaciju stalnosti performansi imenuje se u skladu sa zahtevima utvrđenim zakonom kojim je uređena oblast građevinskih proizvoda (u daljem tekstu: Zakon) i zahtevima propisanim ovim pravilnikom. </w:t>
      </w:r>
    </w:p>
    <w:p w:rsidR="00A63FAE" w:rsidRPr="00A63FAE" w:rsidRDefault="00A63FAE" w:rsidP="00A63F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A63FA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Telo za ocenjivanje i verifikaciju stalnosti performansi ispunjava zahteve u pogledu kompetentnosti za sprovođenje radnji u okviru sistema 1+, sistema 1, sistema 2+ i/ili sistema 3 (u daljem tekstu: sistem), za određeni građevinski proizvod ili familiju građevinskih proizvoda u skladu sa tehničkom specifikacijom ili tehničkim propisom ako ispunjava zahteve u pogledu kompetentnosti utvrđene odgovarajućim srpskim standardima i zahteve za građevinske proizvode utvrđene odgovarajućom srpskom tehničkom specifikacijom ili tehničkim propisom, i to: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1) za obavljanje radnji u okviru sistema 1+ ili sistema 1, ako ispunjava zahteve utvrđene srpskim standardom SRPS EN ISO/IEC 17065 i zahteve utvrđene srpskim standardom SRPS EN ISO/IEC 17025 najmanje za jedan građevinski proizvod iz oblasti građevinskih proizvoda kojoj pripada građevinski proizvod ili familija građevinskih proizvoda za koji se telo imenuje;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2) za obavljanje radnji u okviru sistema 2+, ako ispunjava zahteve utvrđene srpskim standardom SRPS EN ISO/IEC 17065;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3) za obavljanje radnji u okviru sistema 3, ako ispunjava zahteve utvrđene srpskim standardom SRPS EN ISO/IEC 17025 za više od 50% metoda ispitivanja kojima se ispituju performanse u vezi sa bitnim karakteristikama građevinskog proizvoda;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4) za obavljanje radnji ispitivanja bitnih karakteristika: reakcije na požar, otpornosti na požar, performansi pri spoljašnjem požaru, apsorpcije buke i emisije opasnih materija, ako ispunjava zahteve utvrđene srpskim standardom SRPS EN ISO/IEC 17025 za ispitivanje određene bitne karakteristike za koju se imenuje prema odgovarajućim metodama ispitivanja. </w:t>
      </w:r>
    </w:p>
    <w:p w:rsidR="00A63FAE" w:rsidRPr="00A63FAE" w:rsidRDefault="00A63FAE" w:rsidP="00A63F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A63FA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Telo za ocenjivanje i verifikaciju stalnosti performansi građevinskih proizvoda ispunjava zahteve u pogledu osposobljenosti ako ima dovoljan broj zaposlenih i drugih radno </w:t>
      </w:r>
      <w:r w:rsidRPr="00A63FAE">
        <w:rPr>
          <w:rFonts w:ascii="Arial" w:eastAsia="Times New Roman" w:hAnsi="Arial" w:cs="Arial"/>
          <w:lang w:eastAsia="sr-Latn-RS"/>
        </w:rPr>
        <w:lastRenderedPageBreak/>
        <w:t xml:space="preserve">angažovanih lica sa stručnim znanjem i odgovarajućim iskustvom za obavljanje svih zadataka u okviru sistema ocenjivanja i verifikacije stalnosti performansi za svaki građevinski proizvod ili familiju građevinskih proizvoda za koje se telo imenuje (u daljem tekstu: stručno lice), od kojih je najmanje jedno stručno lice, zaposleno sa punim radnim vremenom na neodređeno vreme, određeno za odgovorno lice za sprovođenje radnji u okviru sistema 1+, sistema 1, sistema 2+ ili sistema 3, i to za svaki građevinski proizvod ili familiju građevinskih proizvoda za koje se imenuje i ako je stručno lice odgovorno za sledeće zadatke: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1) za preuzimanje/prihvatanje radnji u postupku ocenjivanja i verifikacije stalnosti performansi;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2) da radnje u okviru sistema obavljaju stručno osposobljena zaposlena i/ili druga radno angažovana lica;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3) za opremljenost tela za ocenjivanje i verifikaciju stalnosti performansi u pogledu opreme potrebne za obavljanje tih radnji;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4) da se radnje u postupku ocenjivanja i verifikacije stalnosti performansi sprovode u skladu sa propisima i pravilima struke;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5) da je obezbeđena nezavisnost pri obavljanju radnji u okviru sistema u odnosu na proizvođača, uvoznika i distributera građevinskog proizvoda.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Stručnim licem za građevinski proizvod iz stava 1. ovog člana smatra se lice koje ima stečeno odgovarajuće obrazovanje na nivou ekvivalentnom osnovnim akademskim studijama, odnosno </w:t>
      </w:r>
      <w:proofErr w:type="spellStart"/>
      <w:r w:rsidRPr="00A63FAE">
        <w:rPr>
          <w:rFonts w:ascii="Arial" w:eastAsia="Times New Roman" w:hAnsi="Arial" w:cs="Arial"/>
          <w:lang w:eastAsia="sr-Latn-RS"/>
        </w:rPr>
        <w:t>strukovnim</w:t>
      </w:r>
      <w:proofErr w:type="spellEnd"/>
      <w:r w:rsidRPr="00A63FAE">
        <w:rPr>
          <w:rFonts w:ascii="Arial" w:eastAsia="Times New Roman" w:hAnsi="Arial" w:cs="Arial"/>
          <w:lang w:eastAsia="sr-Latn-RS"/>
        </w:rPr>
        <w:t xml:space="preserve"> studijama obima od najmanje 300 ESPB i najmanje ukupno tri godine radnog iskustva na poslovima: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1) projektovanja i/ili proizvodnje građevinskih proizvoda iz oblasti građevinskih proizvoda kojoj taj građevinski proizvod pripada;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2) ocenjivanja usaglašenosti odnosno ocenjivanja i verifikacije stalnosti performansi građevinskih proizvoda iz oblasti građevinskih proizvoda kojoj pripada taj građevinski proizvod;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3) projektovanja i/ili građenja objekata u stručnoj oblasti u kojoj se za građenje koriste građevinski proizvodi iz oblasti građevinskih proizvoda kojoj taj građevinski proizvod pripada;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4) normative i/ili na stručno-analitičkim poslovima koji se odnose na građevinske proizvode.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Radno iskustvo iz stava 2. ovog člana obuhvata najmanje dve godine radnog iskustva koje je stečeno na jednom od poslova iz stava 2. </w:t>
      </w:r>
      <w:proofErr w:type="spellStart"/>
      <w:r w:rsidRPr="00A63FAE">
        <w:rPr>
          <w:rFonts w:ascii="Arial" w:eastAsia="Times New Roman" w:hAnsi="Arial" w:cs="Arial"/>
          <w:lang w:eastAsia="sr-Latn-RS"/>
        </w:rPr>
        <w:t>tač</w:t>
      </w:r>
      <w:proofErr w:type="spellEnd"/>
      <w:r w:rsidRPr="00A63FAE">
        <w:rPr>
          <w:rFonts w:ascii="Arial" w:eastAsia="Times New Roman" w:hAnsi="Arial" w:cs="Arial"/>
          <w:lang w:eastAsia="sr-Latn-RS"/>
        </w:rPr>
        <w:t xml:space="preserve">. 1)-4) ovog </w:t>
      </w:r>
      <w:proofErr w:type="spellStart"/>
      <w:r w:rsidRPr="00A63FAE">
        <w:rPr>
          <w:rFonts w:ascii="Arial" w:eastAsia="Times New Roman" w:hAnsi="Arial" w:cs="Arial"/>
          <w:lang w:eastAsia="sr-Latn-RS"/>
        </w:rPr>
        <w:t>ovog</w:t>
      </w:r>
      <w:proofErr w:type="spellEnd"/>
      <w:r w:rsidRPr="00A63FAE">
        <w:rPr>
          <w:rFonts w:ascii="Arial" w:eastAsia="Times New Roman" w:hAnsi="Arial" w:cs="Arial"/>
          <w:lang w:eastAsia="sr-Latn-RS"/>
        </w:rPr>
        <w:t xml:space="preserve"> člana. </w:t>
      </w:r>
    </w:p>
    <w:p w:rsidR="00A63FAE" w:rsidRPr="00A63FAE" w:rsidRDefault="00A63FAE" w:rsidP="00A63F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A63FA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Telo za ocenjivanje i verifikaciju stalnosti performansi imenuje se kao </w:t>
      </w:r>
      <w:proofErr w:type="spellStart"/>
      <w:r w:rsidRPr="00A63FAE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A63FAE">
        <w:rPr>
          <w:rFonts w:ascii="Arial" w:eastAsia="Times New Roman" w:hAnsi="Arial" w:cs="Arial"/>
          <w:lang w:eastAsia="sr-Latn-RS"/>
        </w:rPr>
        <w:t xml:space="preserve"> telo za građevinski proizvod ako ispunjava zahteve iz člana 40. Zakona i ako za svaki građevinski proizvod ili familiju građevinskih proizvoda u skladu sa tehničkom specifikacijom ili tehničkim propisom za koji se imenuje, ispunjava zahteve u pogledu kompetentnosti iz člana 3. stav 1. tačka 1) ovog pravilnika i zahteve u pogledu osposobljenosti iz člana 4. ovog pravilnika.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Telo za ocenjivanje i verifikaciju stalnosti performansi imenuje se kao </w:t>
      </w:r>
      <w:proofErr w:type="spellStart"/>
      <w:r w:rsidRPr="00A63FAE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A63FAE">
        <w:rPr>
          <w:rFonts w:ascii="Arial" w:eastAsia="Times New Roman" w:hAnsi="Arial" w:cs="Arial"/>
          <w:lang w:eastAsia="sr-Latn-RS"/>
        </w:rPr>
        <w:t xml:space="preserve"> telo za fabričku kontrolu proizvodnje ako ispunjava zahteve iz člana 40. Zakona i ako za svaki </w:t>
      </w:r>
      <w:r w:rsidRPr="00A63FAE">
        <w:rPr>
          <w:rFonts w:ascii="Arial" w:eastAsia="Times New Roman" w:hAnsi="Arial" w:cs="Arial"/>
          <w:lang w:eastAsia="sr-Latn-RS"/>
        </w:rPr>
        <w:lastRenderedPageBreak/>
        <w:t xml:space="preserve">građevinski proizvod ili familiju građevinskih proizvoda u skladu sa tehničkom specifikacijom ili tehničkim propisom za koji se imenuje, ispunjava zahteve u pogledu kompetentnosti iz člana 3. stav 1. tačka 2) ovog pravilnika i zahteve u pogledu osposobljenosti iz člana 4. ovog pravilnika.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Telo za ocenjivanje i verifikaciju stalnosti performansi imenuje se kao laboratorija ako ispunjava zahteve iz člana 40. Zakona i ako za svaki građevinski proizvod ili familiju građevinskih proizvoda u skladu sa tehničkom specifikacijom ili tehničkim propisom za koji se imenuje, ispunjava zahteve u pogledu kompetentnosti iz člana 3. stav 1. tačka 3) i zahteve u pogledu osposobljenosti iz člana 4. ovog pravilnika.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U slučaju imenovanja laboratorije za ispitivanje koja sprovodi radnje ocenjivanja i verifikacije stalnosti performansi građevinskih proizvoda u vezi sa bitnim karakteristikama: reakcija na požar, otpornost na požar, performanse prilikom spoljnog požara, apsorpcija buke i emisija opasnih materija, zahtevi iz člana 4. stav 2. </w:t>
      </w:r>
      <w:proofErr w:type="spellStart"/>
      <w:r w:rsidRPr="00A63FAE">
        <w:rPr>
          <w:rFonts w:ascii="Arial" w:eastAsia="Times New Roman" w:hAnsi="Arial" w:cs="Arial"/>
          <w:lang w:eastAsia="sr-Latn-RS"/>
        </w:rPr>
        <w:t>tač</w:t>
      </w:r>
      <w:proofErr w:type="spellEnd"/>
      <w:r w:rsidRPr="00A63FAE">
        <w:rPr>
          <w:rFonts w:ascii="Arial" w:eastAsia="Times New Roman" w:hAnsi="Arial" w:cs="Arial"/>
          <w:lang w:eastAsia="sr-Latn-RS"/>
        </w:rPr>
        <w:t xml:space="preserve">. 1) i 2) ovog pravilnika odnose se na znanje i iskustvo u vezi sa ispitivanjem bitnih karakteristika: reakcije na požar, otpornosti na požar, performansi prilikom spoljnog požara, apsorpcije buke i emisija opasnih materija, nezavisno od građevinskog proizvoda za koji se telo imenuje. </w:t>
      </w:r>
    </w:p>
    <w:p w:rsidR="00A63FAE" w:rsidRPr="00A63FAE" w:rsidRDefault="00A63FAE" w:rsidP="00A63F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A63FA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Imenovano telo za ocenjivanje i verifikaciju stalnosti performansi ispunjava zahteve utvrđene Zakonom i ovim pravilnikom u slučaju izmene tehničke specifikacije u skladu sa kojom je imenovano, ukoliko u roku od 60 dana od dana početka važenja izmenjene tehničke specifikacije, dostavi ministarstvu nadležnom za poslove građevinarstva izjavu da izmena ne utiče na postupak ocenjivanja i verifikacije stalnosti performansi građevinskog proizvoda ili familije građevinskih proizvoda u smislu ispunjavanja osnovnih zahteva za objekat.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Imenovano telo za ocenjivanje i verifikaciju stalnosti performansi ispunjava zahteve utvrđene Zakonom i ovim pravilnikom ako: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1) odgovorno lice iz člana 4. ovog pravilnika zameni drugim stručnim licem;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2) se promeni referentna oznaka tehničke specifikacije i ako je promena takve prirode da ne menja ispunjavanje zahteva na osnovu kojih je telo za ocenjivanje i verifikaciju stalnosti performansi imenovano;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3) je nastala promena takve prirode da nije potrebno preispitivanje ispunjenosti zahteva za imenovanje tela za ocenjivanje i verifikaciju stalnosti performansi građevinskog proizvoda. </w:t>
      </w:r>
    </w:p>
    <w:p w:rsidR="00A63FAE" w:rsidRPr="00A63FAE" w:rsidRDefault="00A63FAE" w:rsidP="00A63F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A63FA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A63FAE" w:rsidRPr="00A63FAE" w:rsidRDefault="00A63FAE" w:rsidP="00A63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3FAE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803B9B" w:rsidRDefault="00803B9B"/>
    <w:sectPr w:rsidR="00803B9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E"/>
    <w:rsid w:val="000C609C"/>
    <w:rsid w:val="00803B9B"/>
    <w:rsid w:val="00A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A63FA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63FAE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A63FA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63FA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A63FA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0C6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0C6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C60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0C60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A63FA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63FAE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A63FA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63FA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A63FA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0C6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0C6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C60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0C60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2019-06-11T20:50:00Z</dcterms:created>
  <dcterms:modified xsi:type="dcterms:W3CDTF">2019-07-17T13:11:00Z</dcterms:modified>
</cp:coreProperties>
</file>