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D127" w14:textId="77777777" w:rsidR="000D29C5" w:rsidRPr="000D29C5" w:rsidRDefault="000D29C5" w:rsidP="000D29C5">
      <w:pPr>
        <w:pStyle w:val="Title"/>
        <w:jc w:val="center"/>
      </w:pPr>
      <w:bookmarkStart w:id="0" w:name="_GoBack"/>
      <w:bookmarkEnd w:id="0"/>
      <w:r w:rsidRPr="000D29C5">
        <w:t>UREDBA</w:t>
      </w:r>
    </w:p>
    <w:p w14:paraId="3D138741" w14:textId="77777777" w:rsidR="000D29C5" w:rsidRPr="000D29C5" w:rsidRDefault="000D29C5" w:rsidP="000D29C5">
      <w:pPr>
        <w:pStyle w:val="Title"/>
        <w:jc w:val="center"/>
      </w:pPr>
      <w:r w:rsidRPr="000D29C5">
        <w:t>O VRSTAMA AKTIVNOSTI I GASOVIMA SA EFEKTOM STAKLENE BAŠTE</w:t>
      </w:r>
    </w:p>
    <w:p w14:paraId="4006C884" w14:textId="4B34B5F2" w:rsidR="000D29C5" w:rsidRDefault="000D29C5" w:rsidP="000D29C5">
      <w:pPr>
        <w:pStyle w:val="Subtitle"/>
        <w:jc w:val="center"/>
        <w:rPr>
          <w:rFonts w:eastAsia="Times New Roman"/>
          <w:lang w:val="en-US"/>
        </w:rPr>
      </w:pPr>
      <w:r w:rsidRPr="00E70069">
        <w:rPr>
          <w:rFonts w:eastAsia="Times New Roman"/>
          <w:lang w:val="en-US"/>
        </w:rPr>
        <w:t>("Sl. glasnik RS", br. 13/2022)</w:t>
      </w:r>
    </w:p>
    <w:p w14:paraId="4034E6C5" w14:textId="77777777" w:rsidR="000D29C5" w:rsidRPr="000D29C5" w:rsidRDefault="000D29C5" w:rsidP="000D29C5">
      <w:pPr>
        <w:rPr>
          <w:lang w:val="en-US"/>
        </w:rPr>
      </w:pPr>
    </w:p>
    <w:p w14:paraId="0D8FF914" w14:textId="77777777" w:rsidR="00E70069" w:rsidRPr="00E70069" w:rsidRDefault="00E70069" w:rsidP="00E70069">
      <w:pPr>
        <w:spacing w:before="240" w:after="120" w:line="240" w:lineRule="auto"/>
        <w:jc w:val="center"/>
        <w:rPr>
          <w:rFonts w:ascii="Arial" w:eastAsia="Times New Roman" w:hAnsi="Arial" w:cs="Arial"/>
          <w:b/>
          <w:bCs/>
          <w:sz w:val="24"/>
          <w:szCs w:val="24"/>
          <w:lang w:val="en-US"/>
        </w:rPr>
      </w:pPr>
      <w:r w:rsidRPr="00E70069">
        <w:rPr>
          <w:rFonts w:ascii="Arial" w:eastAsia="Times New Roman" w:hAnsi="Arial" w:cs="Arial"/>
          <w:b/>
          <w:bCs/>
          <w:sz w:val="24"/>
          <w:szCs w:val="24"/>
          <w:lang w:val="en-US"/>
        </w:rPr>
        <w:t xml:space="preserve">Član 1 </w:t>
      </w:r>
    </w:p>
    <w:p w14:paraId="67533108"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Ovom uredbom propisuju se vrste aktivnosti i gasovi </w:t>
      </w:r>
      <w:proofErr w:type="gramStart"/>
      <w:r w:rsidRPr="00E70069">
        <w:rPr>
          <w:rFonts w:ascii="Arial" w:eastAsia="Times New Roman" w:hAnsi="Arial" w:cs="Arial"/>
          <w:lang w:val="en-US"/>
        </w:rPr>
        <w:t>sa</w:t>
      </w:r>
      <w:proofErr w:type="gramEnd"/>
      <w:r w:rsidRPr="00E70069">
        <w:rPr>
          <w:rFonts w:ascii="Arial" w:eastAsia="Times New Roman" w:hAnsi="Arial" w:cs="Arial"/>
          <w:lang w:val="en-US"/>
        </w:rPr>
        <w:t xml:space="preserve"> efektom staklene bašte za koje operater postrojenja pribavlja dozvolu za emisiju gasova sa efektom staklene bašte i vazduhoplovne aktivnosti i gasovi sa efektom staklene bašte za koje nije potrebno dostaviti plan monitoringa. </w:t>
      </w:r>
    </w:p>
    <w:p w14:paraId="7D8CE5A8" w14:textId="77777777" w:rsidR="00E70069" w:rsidRPr="00E70069" w:rsidRDefault="00E70069" w:rsidP="00E70069">
      <w:pPr>
        <w:spacing w:before="240" w:after="120" w:line="240" w:lineRule="auto"/>
        <w:jc w:val="center"/>
        <w:rPr>
          <w:rFonts w:ascii="Arial" w:eastAsia="Times New Roman" w:hAnsi="Arial" w:cs="Arial"/>
          <w:b/>
          <w:bCs/>
          <w:sz w:val="24"/>
          <w:szCs w:val="24"/>
          <w:lang w:val="en-US"/>
        </w:rPr>
      </w:pPr>
      <w:r w:rsidRPr="00E70069">
        <w:rPr>
          <w:rFonts w:ascii="Arial" w:eastAsia="Times New Roman" w:hAnsi="Arial" w:cs="Arial"/>
          <w:b/>
          <w:bCs/>
          <w:sz w:val="24"/>
          <w:szCs w:val="24"/>
          <w:lang w:val="en-US"/>
        </w:rPr>
        <w:t xml:space="preserve">Član 2 </w:t>
      </w:r>
    </w:p>
    <w:p w14:paraId="2153517F"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Odredbe ove uredbe primenjuju se </w:t>
      </w:r>
      <w:proofErr w:type="gramStart"/>
      <w:r w:rsidRPr="00E70069">
        <w:rPr>
          <w:rFonts w:ascii="Arial" w:eastAsia="Times New Roman" w:hAnsi="Arial" w:cs="Arial"/>
          <w:lang w:val="en-US"/>
        </w:rPr>
        <w:t>na</w:t>
      </w:r>
      <w:proofErr w:type="gramEnd"/>
      <w:r w:rsidRPr="00E70069">
        <w:rPr>
          <w:rFonts w:ascii="Arial" w:eastAsia="Times New Roman" w:hAnsi="Arial" w:cs="Arial"/>
          <w:lang w:val="en-US"/>
        </w:rPr>
        <w:t xml:space="preserve"> aktivnosti operatera postrojenja i operatera vazduhoplova koje dovode do emisije gasova sa efektom staklene bašte (u daljem tekstu: GHG). </w:t>
      </w:r>
    </w:p>
    <w:p w14:paraId="146A4B88" w14:textId="77777777" w:rsidR="00E70069" w:rsidRPr="00E70069" w:rsidRDefault="00E70069" w:rsidP="00E70069">
      <w:pPr>
        <w:spacing w:before="240" w:after="120" w:line="240" w:lineRule="auto"/>
        <w:jc w:val="center"/>
        <w:rPr>
          <w:rFonts w:ascii="Arial" w:eastAsia="Times New Roman" w:hAnsi="Arial" w:cs="Arial"/>
          <w:b/>
          <w:bCs/>
          <w:sz w:val="24"/>
          <w:szCs w:val="24"/>
          <w:lang w:val="en-US"/>
        </w:rPr>
      </w:pPr>
      <w:r w:rsidRPr="00E70069">
        <w:rPr>
          <w:rFonts w:ascii="Arial" w:eastAsia="Times New Roman" w:hAnsi="Arial" w:cs="Arial"/>
          <w:b/>
          <w:bCs/>
          <w:sz w:val="24"/>
          <w:szCs w:val="24"/>
          <w:lang w:val="en-US"/>
        </w:rPr>
        <w:t xml:space="preserve">Član 3 </w:t>
      </w:r>
    </w:p>
    <w:p w14:paraId="4CE06471"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Pojedini izrazi upotrebljeni u ovoj uredbi imaju sledeće značenje: </w:t>
      </w:r>
    </w:p>
    <w:p w14:paraId="577A1A31"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1) </w:t>
      </w:r>
      <w:proofErr w:type="gramStart"/>
      <w:r w:rsidRPr="00E70069">
        <w:rPr>
          <w:rFonts w:ascii="Arial" w:eastAsia="Times New Roman" w:hAnsi="Arial" w:cs="Arial"/>
          <w:i/>
          <w:iCs/>
          <w:lang w:val="en-US"/>
        </w:rPr>
        <w:t>geološko</w:t>
      </w:r>
      <w:proofErr w:type="gramEnd"/>
      <w:r w:rsidRPr="00E70069">
        <w:rPr>
          <w:rFonts w:ascii="Arial" w:eastAsia="Times New Roman" w:hAnsi="Arial" w:cs="Arial"/>
          <w:i/>
          <w:iCs/>
          <w:lang w:val="en-US"/>
        </w:rPr>
        <w:t xml:space="preserve"> skladištenje GHG</w:t>
      </w:r>
      <w:r w:rsidRPr="00E70069">
        <w:rPr>
          <w:rFonts w:ascii="Arial" w:eastAsia="Times New Roman" w:hAnsi="Arial" w:cs="Arial"/>
          <w:lang w:val="en-US"/>
        </w:rPr>
        <w:t xml:space="preserve"> je ubrizgavanje praćeno skladištenjem tokova CO</w:t>
      </w:r>
      <w:r w:rsidRPr="00E70069">
        <w:rPr>
          <w:rFonts w:ascii="Arial" w:eastAsia="Times New Roman" w:hAnsi="Arial" w:cs="Arial"/>
          <w:sz w:val="15"/>
          <w:szCs w:val="15"/>
          <w:vertAlign w:val="subscript"/>
          <w:lang w:val="en-US"/>
        </w:rPr>
        <w:t>2</w:t>
      </w:r>
      <w:r w:rsidRPr="00E70069">
        <w:rPr>
          <w:rFonts w:ascii="Arial" w:eastAsia="Times New Roman" w:hAnsi="Arial" w:cs="Arial"/>
          <w:lang w:val="en-US"/>
        </w:rPr>
        <w:t xml:space="preserve"> u podzemne geološke formacije (skladišni geoprostor); </w:t>
      </w:r>
    </w:p>
    <w:p w14:paraId="024BAD29"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2) </w:t>
      </w:r>
      <w:proofErr w:type="gramStart"/>
      <w:r w:rsidRPr="00E70069">
        <w:rPr>
          <w:rFonts w:ascii="Arial" w:eastAsia="Times New Roman" w:hAnsi="Arial" w:cs="Arial"/>
          <w:i/>
          <w:iCs/>
          <w:lang w:val="en-US"/>
        </w:rPr>
        <w:t>hvatanje</w:t>
      </w:r>
      <w:proofErr w:type="gramEnd"/>
      <w:r w:rsidRPr="00E70069">
        <w:rPr>
          <w:rFonts w:ascii="Arial" w:eastAsia="Times New Roman" w:hAnsi="Arial" w:cs="Arial"/>
          <w:i/>
          <w:iCs/>
          <w:lang w:val="en-US"/>
        </w:rPr>
        <w:t xml:space="preserve"> GHG</w:t>
      </w:r>
      <w:r w:rsidRPr="00E70069">
        <w:rPr>
          <w:rFonts w:ascii="Arial" w:eastAsia="Times New Roman" w:hAnsi="Arial" w:cs="Arial"/>
          <w:lang w:val="en-US"/>
        </w:rPr>
        <w:t xml:space="preserve"> je hvatanje tokova CO</w:t>
      </w:r>
      <w:r w:rsidRPr="00E70069">
        <w:rPr>
          <w:rFonts w:ascii="Arial" w:eastAsia="Times New Roman" w:hAnsi="Arial" w:cs="Arial"/>
          <w:sz w:val="15"/>
          <w:szCs w:val="15"/>
          <w:vertAlign w:val="subscript"/>
          <w:lang w:val="en-US"/>
        </w:rPr>
        <w:t>2</w:t>
      </w:r>
      <w:r w:rsidRPr="00E70069">
        <w:rPr>
          <w:rFonts w:ascii="Arial" w:eastAsia="Times New Roman" w:hAnsi="Arial" w:cs="Arial"/>
          <w:lang w:val="en-US"/>
        </w:rPr>
        <w:t xml:space="preserve">; </w:t>
      </w:r>
    </w:p>
    <w:p w14:paraId="2C3EABD4"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3) </w:t>
      </w:r>
      <w:proofErr w:type="gramStart"/>
      <w:r w:rsidRPr="00E70069">
        <w:rPr>
          <w:rFonts w:ascii="Arial" w:eastAsia="Times New Roman" w:hAnsi="Arial" w:cs="Arial"/>
          <w:i/>
          <w:iCs/>
          <w:lang w:val="en-US"/>
        </w:rPr>
        <w:t>komunalni</w:t>
      </w:r>
      <w:proofErr w:type="gramEnd"/>
      <w:r w:rsidRPr="00E70069">
        <w:rPr>
          <w:rFonts w:ascii="Arial" w:eastAsia="Times New Roman" w:hAnsi="Arial" w:cs="Arial"/>
          <w:i/>
          <w:iCs/>
          <w:lang w:val="en-US"/>
        </w:rPr>
        <w:t xml:space="preserve"> otpad</w:t>
      </w:r>
      <w:r w:rsidRPr="00E70069">
        <w:rPr>
          <w:rFonts w:ascii="Arial" w:eastAsia="Times New Roman" w:hAnsi="Arial" w:cs="Arial"/>
          <w:lang w:val="en-US"/>
        </w:rPr>
        <w:t xml:space="preserve"> je komunalni otpad u skladu sa zakonom kojim se uređuje upravljanje otpadom; </w:t>
      </w:r>
    </w:p>
    <w:p w14:paraId="7B52A4C1"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4) </w:t>
      </w:r>
      <w:proofErr w:type="gramStart"/>
      <w:r w:rsidRPr="00E70069">
        <w:rPr>
          <w:rFonts w:ascii="Arial" w:eastAsia="Times New Roman" w:hAnsi="Arial" w:cs="Arial"/>
          <w:i/>
          <w:iCs/>
          <w:lang w:val="en-US"/>
        </w:rPr>
        <w:t>opasan</w:t>
      </w:r>
      <w:proofErr w:type="gramEnd"/>
      <w:r w:rsidRPr="00E70069">
        <w:rPr>
          <w:rFonts w:ascii="Arial" w:eastAsia="Times New Roman" w:hAnsi="Arial" w:cs="Arial"/>
          <w:i/>
          <w:iCs/>
          <w:lang w:val="en-US"/>
        </w:rPr>
        <w:t xml:space="preserve"> otpad</w:t>
      </w:r>
      <w:r w:rsidRPr="00E70069">
        <w:rPr>
          <w:rFonts w:ascii="Arial" w:eastAsia="Times New Roman" w:hAnsi="Arial" w:cs="Arial"/>
          <w:lang w:val="en-US"/>
        </w:rPr>
        <w:t xml:space="preserve"> je opasan otpad u skladu sa zakonom kojim se uređuje upravljanje otpadom; </w:t>
      </w:r>
    </w:p>
    <w:p w14:paraId="2C876E8F"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5) </w:t>
      </w:r>
      <w:proofErr w:type="gramStart"/>
      <w:r w:rsidRPr="00E70069">
        <w:rPr>
          <w:rFonts w:ascii="Arial" w:eastAsia="Times New Roman" w:hAnsi="Arial" w:cs="Arial"/>
          <w:i/>
          <w:iCs/>
          <w:lang w:val="en-US"/>
        </w:rPr>
        <w:t>sagorevanje</w:t>
      </w:r>
      <w:proofErr w:type="gramEnd"/>
      <w:r w:rsidRPr="00E70069">
        <w:rPr>
          <w:rFonts w:ascii="Arial" w:eastAsia="Times New Roman" w:hAnsi="Arial" w:cs="Arial"/>
          <w:lang w:val="en-US"/>
        </w:rPr>
        <w:t xml:space="preserve"> je svaka oksidacija goriva, bez obzira na način na koji se koristi toplota, električna ili mehanička energija proizvedena iz ovog procesa, kao i bilo koje druge direktno povezane delatnosti, uključujući i prečišćavanje otpadnih gasova; </w:t>
      </w:r>
    </w:p>
    <w:p w14:paraId="62A933E5"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6) </w:t>
      </w:r>
      <w:proofErr w:type="gramStart"/>
      <w:r w:rsidRPr="00E70069">
        <w:rPr>
          <w:rFonts w:ascii="Arial" w:eastAsia="Times New Roman" w:hAnsi="Arial" w:cs="Arial"/>
          <w:i/>
          <w:iCs/>
          <w:lang w:val="en-US"/>
        </w:rPr>
        <w:t>skladišni</w:t>
      </w:r>
      <w:proofErr w:type="gramEnd"/>
      <w:r w:rsidRPr="00E70069">
        <w:rPr>
          <w:rFonts w:ascii="Arial" w:eastAsia="Times New Roman" w:hAnsi="Arial" w:cs="Arial"/>
          <w:i/>
          <w:iCs/>
          <w:lang w:val="en-US"/>
        </w:rPr>
        <w:t xml:space="preserve"> geoprostor</w:t>
      </w:r>
      <w:r w:rsidRPr="00E70069">
        <w:rPr>
          <w:rFonts w:ascii="Arial" w:eastAsia="Times New Roman" w:hAnsi="Arial" w:cs="Arial"/>
          <w:lang w:val="en-US"/>
        </w:rPr>
        <w:t xml:space="preserve"> je prostor određenog volumena unutar geološke formacije koji se koristi za geološko skladištenje CO</w:t>
      </w:r>
      <w:r w:rsidRPr="00E70069">
        <w:rPr>
          <w:rFonts w:ascii="Arial" w:eastAsia="Times New Roman" w:hAnsi="Arial" w:cs="Arial"/>
          <w:sz w:val="15"/>
          <w:szCs w:val="15"/>
          <w:vertAlign w:val="subscript"/>
          <w:lang w:val="en-US"/>
        </w:rPr>
        <w:t>2</w:t>
      </w:r>
      <w:r w:rsidRPr="00E70069">
        <w:rPr>
          <w:rFonts w:ascii="Arial" w:eastAsia="Times New Roman" w:hAnsi="Arial" w:cs="Arial"/>
          <w:lang w:val="en-US"/>
        </w:rPr>
        <w:t xml:space="preserve"> i pripadajuća postrojenja na površini kao i postrojenja za ubrizgavanje; </w:t>
      </w:r>
    </w:p>
    <w:p w14:paraId="1038D121"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7) </w:t>
      </w:r>
      <w:proofErr w:type="gramStart"/>
      <w:r w:rsidRPr="00E70069">
        <w:rPr>
          <w:rFonts w:ascii="Arial" w:eastAsia="Times New Roman" w:hAnsi="Arial" w:cs="Arial"/>
          <w:i/>
          <w:iCs/>
          <w:lang w:val="en-US"/>
        </w:rPr>
        <w:t>tok</w:t>
      </w:r>
      <w:proofErr w:type="gramEnd"/>
      <w:r w:rsidRPr="00E70069">
        <w:rPr>
          <w:rFonts w:ascii="Arial" w:eastAsia="Times New Roman" w:hAnsi="Arial" w:cs="Arial"/>
          <w:i/>
          <w:iCs/>
          <w:lang w:val="en-US"/>
        </w:rPr>
        <w:t xml:space="preserve"> CO</w:t>
      </w:r>
      <w:r w:rsidRPr="00E70069">
        <w:rPr>
          <w:rFonts w:ascii="Arial" w:eastAsia="Times New Roman" w:hAnsi="Arial" w:cs="Arial"/>
          <w:sz w:val="15"/>
          <w:szCs w:val="15"/>
          <w:vertAlign w:val="subscript"/>
          <w:lang w:val="en-US"/>
        </w:rPr>
        <w:t>2</w:t>
      </w:r>
      <w:r w:rsidRPr="00E70069">
        <w:rPr>
          <w:rFonts w:ascii="Arial" w:eastAsia="Times New Roman" w:hAnsi="Arial" w:cs="Arial"/>
          <w:lang w:val="en-US"/>
        </w:rPr>
        <w:t xml:space="preserve"> je protok supstance koji nastaje procesom hvatanja CO</w:t>
      </w:r>
      <w:r w:rsidRPr="00E70069">
        <w:rPr>
          <w:rFonts w:ascii="Arial" w:eastAsia="Times New Roman" w:hAnsi="Arial" w:cs="Arial"/>
          <w:sz w:val="15"/>
          <w:szCs w:val="15"/>
          <w:vertAlign w:val="subscript"/>
          <w:lang w:val="en-US"/>
        </w:rPr>
        <w:t>2</w:t>
      </w:r>
      <w:r w:rsidRPr="00E70069">
        <w:rPr>
          <w:rFonts w:ascii="Arial" w:eastAsia="Times New Roman" w:hAnsi="Arial" w:cs="Arial"/>
          <w:lang w:val="en-US"/>
        </w:rPr>
        <w:t xml:space="preserve">; </w:t>
      </w:r>
    </w:p>
    <w:p w14:paraId="6EBB98E8"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8) </w:t>
      </w:r>
      <w:proofErr w:type="gramStart"/>
      <w:r w:rsidRPr="00E70069">
        <w:rPr>
          <w:rFonts w:ascii="Arial" w:eastAsia="Times New Roman" w:hAnsi="Arial" w:cs="Arial"/>
          <w:i/>
          <w:iCs/>
          <w:lang w:val="en-US"/>
        </w:rPr>
        <w:t>transport</w:t>
      </w:r>
      <w:proofErr w:type="gramEnd"/>
      <w:r w:rsidRPr="00E70069">
        <w:rPr>
          <w:rFonts w:ascii="Arial" w:eastAsia="Times New Roman" w:hAnsi="Arial" w:cs="Arial"/>
          <w:i/>
          <w:iCs/>
          <w:lang w:val="en-US"/>
        </w:rPr>
        <w:t xml:space="preserve"> GHG</w:t>
      </w:r>
      <w:r w:rsidRPr="00E70069">
        <w:rPr>
          <w:rFonts w:ascii="Arial" w:eastAsia="Times New Roman" w:hAnsi="Arial" w:cs="Arial"/>
          <w:lang w:val="en-US"/>
        </w:rPr>
        <w:t xml:space="preserve"> je transport CO</w:t>
      </w:r>
      <w:r w:rsidRPr="00E70069">
        <w:rPr>
          <w:rFonts w:ascii="Arial" w:eastAsia="Times New Roman" w:hAnsi="Arial" w:cs="Arial"/>
          <w:sz w:val="15"/>
          <w:szCs w:val="15"/>
          <w:vertAlign w:val="subscript"/>
          <w:lang w:val="en-US"/>
        </w:rPr>
        <w:t>2</w:t>
      </w:r>
      <w:r w:rsidRPr="00E70069">
        <w:rPr>
          <w:rFonts w:ascii="Arial" w:eastAsia="Times New Roman" w:hAnsi="Arial" w:cs="Arial"/>
          <w:lang w:val="en-US"/>
        </w:rPr>
        <w:t xml:space="preserve"> transportnim mrežama (cevovodima) od mesta hvatanja CO</w:t>
      </w:r>
      <w:r w:rsidRPr="00E70069">
        <w:rPr>
          <w:rFonts w:ascii="Arial" w:eastAsia="Times New Roman" w:hAnsi="Arial" w:cs="Arial"/>
          <w:sz w:val="15"/>
          <w:szCs w:val="15"/>
          <w:vertAlign w:val="subscript"/>
          <w:lang w:val="en-US"/>
        </w:rPr>
        <w:t>2</w:t>
      </w:r>
      <w:r w:rsidRPr="00E70069">
        <w:rPr>
          <w:rFonts w:ascii="Arial" w:eastAsia="Times New Roman" w:hAnsi="Arial" w:cs="Arial"/>
          <w:lang w:val="en-US"/>
        </w:rPr>
        <w:t xml:space="preserve"> do skladišnog geoprostora. </w:t>
      </w:r>
    </w:p>
    <w:p w14:paraId="2DE5E5C8" w14:textId="77777777" w:rsidR="00E70069" w:rsidRPr="00E70069" w:rsidRDefault="00E70069" w:rsidP="00E70069">
      <w:pPr>
        <w:spacing w:before="240" w:after="120" w:line="240" w:lineRule="auto"/>
        <w:jc w:val="center"/>
        <w:rPr>
          <w:rFonts w:ascii="Arial" w:eastAsia="Times New Roman" w:hAnsi="Arial" w:cs="Arial"/>
          <w:b/>
          <w:bCs/>
          <w:sz w:val="24"/>
          <w:szCs w:val="24"/>
          <w:lang w:val="en-US"/>
        </w:rPr>
      </w:pPr>
      <w:r w:rsidRPr="00E70069">
        <w:rPr>
          <w:rFonts w:ascii="Arial" w:eastAsia="Times New Roman" w:hAnsi="Arial" w:cs="Arial"/>
          <w:b/>
          <w:bCs/>
          <w:sz w:val="24"/>
          <w:szCs w:val="24"/>
          <w:lang w:val="en-US"/>
        </w:rPr>
        <w:lastRenderedPageBreak/>
        <w:t xml:space="preserve">Član 4 </w:t>
      </w:r>
    </w:p>
    <w:p w14:paraId="67ACF9E7"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Vrste aktivnosti operatera postrojenja i GHG za koje je potrebno pribaviti dozvolu za emisiju GHG date su u Prilogu 1 - Vrste aktivnosti operatera postrojenja i GHG, koji je odštampan uz ovu uredbu i čini njen sastavni deo. </w:t>
      </w:r>
    </w:p>
    <w:p w14:paraId="71FC015C" w14:textId="77777777" w:rsidR="00E70069" w:rsidRPr="00E70069" w:rsidRDefault="00E70069" w:rsidP="00E70069">
      <w:pPr>
        <w:spacing w:before="240" w:after="120" w:line="240" w:lineRule="auto"/>
        <w:jc w:val="center"/>
        <w:rPr>
          <w:rFonts w:ascii="Arial" w:eastAsia="Times New Roman" w:hAnsi="Arial" w:cs="Arial"/>
          <w:b/>
          <w:bCs/>
          <w:sz w:val="24"/>
          <w:szCs w:val="24"/>
          <w:lang w:val="en-US"/>
        </w:rPr>
      </w:pPr>
      <w:r w:rsidRPr="00E70069">
        <w:rPr>
          <w:rFonts w:ascii="Arial" w:eastAsia="Times New Roman" w:hAnsi="Arial" w:cs="Arial"/>
          <w:b/>
          <w:bCs/>
          <w:sz w:val="24"/>
          <w:szCs w:val="24"/>
          <w:lang w:val="en-US"/>
        </w:rPr>
        <w:t xml:space="preserve">Član 5 </w:t>
      </w:r>
    </w:p>
    <w:p w14:paraId="6BCD1C95"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Vazduhoplovne aktivnosti i GHG za koje nije potrebno dostaviti plan monitoringa, u skladu sa zakonom kojim se uređuju klimatske promene date su u Prilogu 2 - Vrste vazduhoplovnih aktivnosti i GHG za koje nije potrebno dostaviti plan monitoringa, koji je odštampan uz ovu uredbu i čini njen sastavni deo. </w:t>
      </w:r>
    </w:p>
    <w:p w14:paraId="36CE6B34" w14:textId="77777777" w:rsidR="00E70069" w:rsidRPr="00E70069" w:rsidRDefault="00E70069" w:rsidP="00E70069">
      <w:pPr>
        <w:spacing w:before="240" w:after="120" w:line="240" w:lineRule="auto"/>
        <w:jc w:val="center"/>
        <w:rPr>
          <w:rFonts w:ascii="Arial" w:eastAsia="Times New Roman" w:hAnsi="Arial" w:cs="Arial"/>
          <w:b/>
          <w:bCs/>
          <w:sz w:val="24"/>
          <w:szCs w:val="24"/>
          <w:lang w:val="en-US"/>
        </w:rPr>
      </w:pPr>
      <w:r w:rsidRPr="00E70069">
        <w:rPr>
          <w:rFonts w:ascii="Arial" w:eastAsia="Times New Roman" w:hAnsi="Arial" w:cs="Arial"/>
          <w:b/>
          <w:bCs/>
          <w:sz w:val="24"/>
          <w:szCs w:val="24"/>
          <w:lang w:val="en-US"/>
        </w:rPr>
        <w:t xml:space="preserve">Član 6 </w:t>
      </w:r>
    </w:p>
    <w:p w14:paraId="27F37319"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Ova uredba stupa </w:t>
      </w:r>
      <w:proofErr w:type="gramStart"/>
      <w:r w:rsidRPr="00E70069">
        <w:rPr>
          <w:rFonts w:ascii="Arial" w:eastAsia="Times New Roman" w:hAnsi="Arial" w:cs="Arial"/>
          <w:lang w:val="en-US"/>
        </w:rPr>
        <w:t>na</w:t>
      </w:r>
      <w:proofErr w:type="gramEnd"/>
      <w:r w:rsidRPr="00E70069">
        <w:rPr>
          <w:rFonts w:ascii="Arial" w:eastAsia="Times New Roman" w:hAnsi="Arial" w:cs="Arial"/>
          <w:lang w:val="en-US"/>
        </w:rPr>
        <w:t xml:space="preserve"> snagu osmog dana od dana objavljivanja u "Službenom glasniku Republike Srbije", osim odredaba člana 5. </w:t>
      </w:r>
      <w:proofErr w:type="gramStart"/>
      <w:r w:rsidRPr="00E70069">
        <w:rPr>
          <w:rFonts w:ascii="Arial" w:eastAsia="Times New Roman" w:hAnsi="Arial" w:cs="Arial"/>
          <w:lang w:val="en-US"/>
        </w:rPr>
        <w:t>ove</w:t>
      </w:r>
      <w:proofErr w:type="gramEnd"/>
      <w:r w:rsidRPr="00E70069">
        <w:rPr>
          <w:rFonts w:ascii="Arial" w:eastAsia="Times New Roman" w:hAnsi="Arial" w:cs="Arial"/>
          <w:lang w:val="en-US"/>
        </w:rPr>
        <w:t xml:space="preserve"> uredbe koje se primenjuju od 1. </w:t>
      </w:r>
      <w:proofErr w:type="gramStart"/>
      <w:r w:rsidRPr="00E70069">
        <w:rPr>
          <w:rFonts w:ascii="Arial" w:eastAsia="Times New Roman" w:hAnsi="Arial" w:cs="Arial"/>
          <w:lang w:val="en-US"/>
        </w:rPr>
        <w:t>januara</w:t>
      </w:r>
      <w:proofErr w:type="gramEnd"/>
      <w:r w:rsidRPr="00E70069">
        <w:rPr>
          <w:rFonts w:ascii="Arial" w:eastAsia="Times New Roman" w:hAnsi="Arial" w:cs="Arial"/>
          <w:lang w:val="en-US"/>
        </w:rPr>
        <w:t xml:space="preserve"> 2023. </w:t>
      </w:r>
      <w:proofErr w:type="gramStart"/>
      <w:r w:rsidRPr="00E70069">
        <w:rPr>
          <w:rFonts w:ascii="Arial" w:eastAsia="Times New Roman" w:hAnsi="Arial" w:cs="Arial"/>
          <w:lang w:val="en-US"/>
        </w:rPr>
        <w:t>godine</w:t>
      </w:r>
      <w:proofErr w:type="gramEnd"/>
      <w:r w:rsidRPr="00E70069">
        <w:rPr>
          <w:rFonts w:ascii="Arial" w:eastAsia="Times New Roman" w:hAnsi="Arial" w:cs="Arial"/>
          <w:lang w:val="en-US"/>
        </w:rPr>
        <w:t xml:space="preserve">. </w:t>
      </w:r>
    </w:p>
    <w:p w14:paraId="41934B51" w14:textId="77777777" w:rsidR="00E70069" w:rsidRPr="00E70069" w:rsidRDefault="00E70069" w:rsidP="00E70069">
      <w:pPr>
        <w:spacing w:after="0" w:line="240" w:lineRule="auto"/>
        <w:jc w:val="center"/>
        <w:rPr>
          <w:rFonts w:ascii="Arial" w:eastAsia="Times New Roman" w:hAnsi="Arial" w:cs="Arial"/>
          <w:b/>
          <w:bCs/>
          <w:sz w:val="31"/>
          <w:szCs w:val="31"/>
          <w:lang w:val="en-US"/>
        </w:rPr>
      </w:pPr>
      <w:r w:rsidRPr="00E70069">
        <w:rPr>
          <w:rFonts w:ascii="Arial" w:eastAsia="Times New Roman" w:hAnsi="Arial" w:cs="Arial"/>
          <w:b/>
          <w:bCs/>
          <w:sz w:val="31"/>
          <w:szCs w:val="31"/>
          <w:lang w:val="en-US"/>
        </w:rPr>
        <w:t xml:space="preserve">Prilog 1 </w:t>
      </w:r>
    </w:p>
    <w:p w14:paraId="4ABD35F8" w14:textId="77777777" w:rsidR="00E70069" w:rsidRPr="00E70069" w:rsidRDefault="00E70069" w:rsidP="00E70069">
      <w:pPr>
        <w:spacing w:after="0" w:line="240" w:lineRule="auto"/>
        <w:jc w:val="center"/>
        <w:rPr>
          <w:rFonts w:ascii="Arial" w:eastAsia="Times New Roman" w:hAnsi="Arial" w:cs="Arial"/>
          <w:b/>
          <w:bCs/>
          <w:sz w:val="31"/>
          <w:szCs w:val="31"/>
          <w:lang w:val="en-US"/>
        </w:rPr>
      </w:pPr>
      <w:r w:rsidRPr="00E70069">
        <w:rPr>
          <w:rFonts w:ascii="Arial" w:eastAsia="Times New Roman" w:hAnsi="Arial" w:cs="Arial"/>
          <w:b/>
          <w:bCs/>
          <w:sz w:val="31"/>
          <w:szCs w:val="31"/>
          <w:lang w:val="en-US"/>
        </w:rPr>
        <w:t xml:space="preserve">VRSTE AKTIVNOSTI OPERATERA POSTROJENJA I GHG </w:t>
      </w:r>
    </w:p>
    <w:p w14:paraId="57CC593D" w14:textId="77777777" w:rsidR="00E70069" w:rsidRPr="00E70069" w:rsidRDefault="00E70069" w:rsidP="00E70069">
      <w:pPr>
        <w:spacing w:after="0" w:line="240" w:lineRule="auto"/>
        <w:rPr>
          <w:rFonts w:ascii="Arial" w:eastAsia="Times New Roman" w:hAnsi="Arial" w:cs="Arial"/>
          <w:sz w:val="26"/>
          <w:szCs w:val="26"/>
          <w:lang w:val="en-US"/>
        </w:rPr>
      </w:pPr>
      <w:r w:rsidRPr="00E7006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746"/>
        <w:gridCol w:w="2370"/>
      </w:tblGrid>
      <w:tr w:rsidR="00E70069" w:rsidRPr="00E70069" w14:paraId="25CB3338" w14:textId="77777777" w:rsidTr="00E70069">
        <w:trPr>
          <w:tblCellSpacing w:w="0" w:type="dxa"/>
        </w:trPr>
        <w:tc>
          <w:tcPr>
            <w:tcW w:w="3700" w:type="pct"/>
            <w:tcBorders>
              <w:top w:val="outset" w:sz="6" w:space="0" w:color="auto"/>
              <w:left w:val="outset" w:sz="6" w:space="0" w:color="auto"/>
              <w:bottom w:val="outset" w:sz="6" w:space="0" w:color="auto"/>
              <w:right w:val="outset" w:sz="6" w:space="0" w:color="auto"/>
            </w:tcBorders>
            <w:vAlign w:val="center"/>
            <w:hideMark/>
          </w:tcPr>
          <w:p w14:paraId="55885373" w14:textId="77777777" w:rsidR="00E70069" w:rsidRPr="00E70069" w:rsidRDefault="00E70069" w:rsidP="00E70069">
            <w:pPr>
              <w:spacing w:before="100" w:beforeAutospacing="1" w:after="100" w:afterAutospacing="1" w:line="240" w:lineRule="auto"/>
              <w:jc w:val="center"/>
              <w:rPr>
                <w:rFonts w:ascii="Arial" w:eastAsia="Times New Roman" w:hAnsi="Arial" w:cs="Arial"/>
                <w:lang w:val="en-US"/>
              </w:rPr>
            </w:pPr>
            <w:r w:rsidRPr="00E70069">
              <w:rPr>
                <w:rFonts w:ascii="Arial" w:eastAsia="Times New Roman" w:hAnsi="Arial" w:cs="Arial"/>
                <w:lang w:val="en-US"/>
              </w:rPr>
              <w:t xml:space="preserve">Aktivnosti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9F637E5" w14:textId="77777777" w:rsidR="00E70069" w:rsidRPr="00E70069" w:rsidRDefault="00E70069" w:rsidP="00E70069">
            <w:pPr>
              <w:spacing w:before="100" w:beforeAutospacing="1" w:after="100" w:afterAutospacing="1" w:line="240" w:lineRule="auto"/>
              <w:jc w:val="center"/>
              <w:rPr>
                <w:rFonts w:ascii="Arial" w:eastAsia="Times New Roman" w:hAnsi="Arial" w:cs="Arial"/>
                <w:lang w:val="en-US"/>
              </w:rPr>
            </w:pPr>
            <w:r w:rsidRPr="00E70069">
              <w:rPr>
                <w:rFonts w:ascii="Arial" w:eastAsia="Times New Roman" w:hAnsi="Arial" w:cs="Arial"/>
                <w:lang w:val="en-US"/>
              </w:rPr>
              <w:t xml:space="preserve">GHG koji se emituju prilikom obavljanja aktivnosti </w:t>
            </w:r>
          </w:p>
        </w:tc>
      </w:tr>
      <w:tr w:rsidR="00E70069" w:rsidRPr="00E70069" w14:paraId="45EA5D85"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78BBD0"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Sagorevanja goriva u postrojenjima sa ukupnim nominalnim toplotnim ulazom snage iznad 20 MW (osim u postrojenjima za insineraciju opasnog ili komunalnog otpada)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A1DE9"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2F48AA6A"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2840B"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Prerada mineralnog ulja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073D6"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536DFA68"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BE7DE7"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koksa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0AEC7"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7698B7F5"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C5A1F"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Pečenje ili sinterovanje metalne rude (uključujući sulfidnu rudu), uključujući peletizaciju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A3824"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7339CF7A"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62E02"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sirovog gvožđa ili čelika (primarno ili sekundarno topljenje) uključujući kontinuirano livenje, sa kapacitetom koji prelazi 2,5 t/sat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FF43E"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74D2708C"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97D2D"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i prerada feroznih metala (uključujući i ferolegura) gde je sagorevanje jedinica sa nominalnim termičkim ulazom veća od 20 MW. Obrada obuhvata, između ostalog, valjaonice, dogrejače, peći za kaljenje, kovačnice, livnice, oblaganje, bajcovanje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3D295"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46EB2F3E"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4A392"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primarnog aluminijuma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3E37E"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i perfluorougljenici </w:t>
            </w:r>
          </w:p>
        </w:tc>
      </w:tr>
      <w:tr w:rsidR="00E70069" w:rsidRPr="00E70069" w14:paraId="774CC78A"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02887"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sekundarnog aluminijuma, gde se vrši sagorevanje jedinica sa nominalnim toplotnim ulazom većim od 20 MW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F9611"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76DB825E"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FF045"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i prerada obojenih metala, uključujući proizvodnju legura, rafinaciju, livenje u livnici, itd., gde sagorevanje jedinica sa nominalnim termičkim ulazom (uključujući goriva koja se koriste kao redukciona sredstva) prelazi 20 MW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159B6"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4C23E08D"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53586" w14:textId="77777777" w:rsidR="00E70069" w:rsidRPr="00E70069" w:rsidRDefault="00E70069" w:rsidP="00E70069">
            <w:pPr>
              <w:spacing w:before="100" w:beforeAutospacing="1" w:after="100" w:afterAutospacing="1" w:line="240" w:lineRule="auto"/>
              <w:rPr>
                <w:rFonts w:ascii="Arial" w:eastAsia="Times New Roman" w:hAnsi="Arial" w:cs="Arial"/>
                <w:highlight w:val="yellow"/>
                <w:lang w:val="en-US"/>
              </w:rPr>
            </w:pPr>
            <w:r w:rsidRPr="00E70069">
              <w:rPr>
                <w:rFonts w:ascii="Arial" w:eastAsia="Times New Roman" w:hAnsi="Arial" w:cs="Arial"/>
                <w:highlight w:val="yellow"/>
                <w:lang w:val="en-US"/>
              </w:rPr>
              <w:t xml:space="preserve">Proizvodnja cementnog klinkera u rotacionim pećima sa proizvodnim kapacitetom koji prelazi 500 t/dan, ili u drugim pećima, </w:t>
            </w:r>
            <w:r w:rsidRPr="00E70069">
              <w:rPr>
                <w:rFonts w:ascii="Arial" w:eastAsia="Times New Roman" w:hAnsi="Arial" w:cs="Arial"/>
                <w:highlight w:val="yellow"/>
                <w:lang w:val="en-US"/>
              </w:rPr>
              <w:lastRenderedPageBreak/>
              <w:t xml:space="preserve">čiji proizvodni kapaciteti prelaze 50 t/dan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34CBD"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lastRenderedPageBreak/>
              <w:t xml:space="preserve">Ugljen-dioksid </w:t>
            </w:r>
          </w:p>
        </w:tc>
      </w:tr>
      <w:tr w:rsidR="00E70069" w:rsidRPr="00E70069" w14:paraId="2BB4B731"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A5EA9"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lastRenderedPageBreak/>
              <w:t xml:space="preserve">Proizvodnja kreča ili kalcinacija dolomita ili magnezita u rotacionim pećima, ili u drugim pećima, čiji proizvodni kapaciteti prelaze 50 t/dan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E4046"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2DBE8E54"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48CA5"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stakla uključujući staklena vlakna sa kapacitetom topljenja koji prelazi 20 t/dan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47879"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0EBE9FCA"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6F43A"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keramičkih proizvoda pečenjem, a naročito crepa, cigle, vatrostalne opeke, pločica, kamenih proizvoda ili porcelana, sa proizvodnim kapacitetom koji prelazi 75 t/dan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40207"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7A076853"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4B950"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izolacionog materijala od mineralne vune, koristeći staklo, kamen ili šljaku sa kapacitetom topljenja koji prelazi 20 t/dan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5FCFE"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63AC4C99"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A2002"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Sušenje ili kalcinacija gipsa ili proizvodnja gipsanih ploča i drugih gipsanih sastava, gde je sagorevanje jedinica sa toplotnim ulazom većim od 20 MW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A96EA"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35EDB365"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36F42"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pulpe od drveta ili drugih vlaknastih materijala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02378"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0E4E0540"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80CD1"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papira ili kartona sa proizvodnim kapacitetom koji prelazi 20 t/dan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0BA0A"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1B368C9C"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2C2637"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čađi, uključujući karbonizaciju organskih materija kao što su ulja, katrani, kreker i destilacija ostataka, gde je sagorevanje jedinice sa nominalnim toplotnim ulazom iznad 20 MW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2EE23"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 </w:t>
            </w:r>
          </w:p>
        </w:tc>
      </w:tr>
      <w:tr w:rsidR="00E70069" w:rsidRPr="00E70069" w14:paraId="4EE6CF1A"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CF2A0"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azotne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48F35"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Ugljen-dioksid</w:t>
            </w:r>
            <w:r w:rsidRPr="00E70069">
              <w:rPr>
                <w:rFonts w:ascii="Arial" w:eastAsia="Times New Roman" w:hAnsi="Arial" w:cs="Arial"/>
                <w:lang w:val="en-US"/>
              </w:rPr>
              <w:br/>
              <w:t xml:space="preserve">i azot-suboksid </w:t>
            </w:r>
          </w:p>
        </w:tc>
      </w:tr>
      <w:tr w:rsidR="00E70069" w:rsidRPr="00E70069" w14:paraId="5FA4D018"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3F30A"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adipinske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F6AE6"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Ugljen-dioksid</w:t>
            </w:r>
            <w:r w:rsidRPr="00E70069">
              <w:rPr>
                <w:rFonts w:ascii="Arial" w:eastAsia="Times New Roman" w:hAnsi="Arial" w:cs="Arial"/>
                <w:lang w:val="en-US"/>
              </w:rPr>
              <w:br/>
              <w:t xml:space="preserve">i azot-suboksid </w:t>
            </w:r>
          </w:p>
        </w:tc>
      </w:tr>
      <w:tr w:rsidR="00E70069" w:rsidRPr="00E70069" w14:paraId="60AD7BA6"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0210E"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glioksala i glioksilne kiseline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B90E4FC"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Ugljen-dioksid</w:t>
            </w:r>
            <w:r w:rsidRPr="00E70069">
              <w:rPr>
                <w:rFonts w:ascii="Arial" w:eastAsia="Times New Roman" w:hAnsi="Arial" w:cs="Arial"/>
                <w:lang w:val="en-US"/>
              </w:rPr>
              <w:br/>
              <w:t xml:space="preserve">i azot-suboksid </w:t>
            </w:r>
          </w:p>
        </w:tc>
      </w:tr>
      <w:tr w:rsidR="00E70069" w:rsidRPr="00E70069" w14:paraId="1695B677"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D82EA"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amonijaka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455A0"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3A06007B"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5B6D2"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Proizvodnja organskih hemikalija u rinfuzu krekovanjem, reformom, delimičnom ili potpunom oksidacijom ili sličnim procesima, sa proizvodnim kapacitetom koji prelazi 100 t/dan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343A0"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796C6774"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4D40BC"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Proizvodnja vodonika (H</w:t>
            </w:r>
            <w:r w:rsidRPr="00E70069">
              <w:rPr>
                <w:rFonts w:ascii="Arial" w:eastAsia="Times New Roman" w:hAnsi="Arial" w:cs="Arial"/>
                <w:sz w:val="15"/>
                <w:szCs w:val="15"/>
                <w:vertAlign w:val="subscript"/>
                <w:lang w:val="en-US"/>
              </w:rPr>
              <w:t>2</w:t>
            </w:r>
            <w:r w:rsidRPr="00E70069">
              <w:rPr>
                <w:rFonts w:ascii="Arial" w:eastAsia="Times New Roman" w:hAnsi="Arial" w:cs="Arial"/>
                <w:lang w:val="en-US"/>
              </w:rPr>
              <w:t xml:space="preserve">) i sintetičkog gasa reformom ili parcijalnom oksidacijom sa proizvodnim kapacitetom koji prelazi 25 t/dan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91BCE"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64B352CA"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9C121"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Proizvodnja sode (Na</w:t>
            </w:r>
            <w:r w:rsidRPr="00E70069">
              <w:rPr>
                <w:rFonts w:ascii="Arial" w:eastAsia="Times New Roman" w:hAnsi="Arial" w:cs="Arial"/>
                <w:sz w:val="15"/>
                <w:szCs w:val="15"/>
                <w:vertAlign w:val="subscript"/>
                <w:lang w:val="en-US"/>
              </w:rPr>
              <w:t>2</w:t>
            </w:r>
            <w:r w:rsidRPr="00E70069">
              <w:rPr>
                <w:rFonts w:ascii="Arial" w:eastAsia="Times New Roman" w:hAnsi="Arial" w:cs="Arial"/>
                <w:lang w:val="en-US"/>
              </w:rPr>
              <w:t>CO</w:t>
            </w:r>
            <w:r w:rsidRPr="00E70069">
              <w:rPr>
                <w:rFonts w:ascii="Arial" w:eastAsia="Times New Roman" w:hAnsi="Arial" w:cs="Arial"/>
                <w:sz w:val="15"/>
                <w:szCs w:val="15"/>
                <w:vertAlign w:val="subscript"/>
                <w:lang w:val="en-US"/>
              </w:rPr>
              <w:t>3</w:t>
            </w:r>
            <w:r w:rsidRPr="00E70069">
              <w:rPr>
                <w:rFonts w:ascii="Arial" w:eastAsia="Times New Roman" w:hAnsi="Arial" w:cs="Arial"/>
                <w:lang w:val="en-US"/>
              </w:rPr>
              <w:t>) i natrijum bikarbonata (NaHCO</w:t>
            </w:r>
            <w:r w:rsidRPr="00E70069">
              <w:rPr>
                <w:rFonts w:ascii="Arial" w:eastAsia="Times New Roman" w:hAnsi="Arial" w:cs="Arial"/>
                <w:sz w:val="15"/>
                <w:szCs w:val="15"/>
                <w:vertAlign w:val="subscript"/>
                <w:lang w:val="en-US"/>
              </w:rPr>
              <w:t>3</w:t>
            </w:r>
            <w:r w:rsidRPr="00E70069">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2EFB9"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51AF15B9"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BED44"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Hvatanje GHG iz postrojenja navedenih u ovom prilogu za svrhe transporta i geološkog skladištenja na mesta skladištenja dozvoljena propisima u skladu sa zakonom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A3A66"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4C1B5005"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13CAA"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Transport GHG gasovima, radi geološkog skladištenja na mesta skladištenja dozvoljena u skladu sa zakonom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12A2A"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r w:rsidR="00E70069" w:rsidRPr="00E70069" w14:paraId="690C48A2"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9A396"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Geološko skladištenje GHG u skladištu na mestima skladištenja koja su dozvoljena u skladu sa zakonom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58E2F"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Ugljen-dioksid </w:t>
            </w:r>
          </w:p>
        </w:tc>
      </w:tr>
    </w:tbl>
    <w:p w14:paraId="174B6B76"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Postrojenja </w:t>
      </w:r>
      <w:proofErr w:type="gramStart"/>
      <w:r w:rsidRPr="00E70069">
        <w:rPr>
          <w:rFonts w:ascii="Arial" w:eastAsia="Times New Roman" w:hAnsi="Arial" w:cs="Arial"/>
          <w:lang w:val="en-US"/>
        </w:rPr>
        <w:t>ili</w:t>
      </w:r>
      <w:proofErr w:type="gramEnd"/>
      <w:r w:rsidRPr="00E70069">
        <w:rPr>
          <w:rFonts w:ascii="Arial" w:eastAsia="Times New Roman" w:hAnsi="Arial" w:cs="Arial"/>
          <w:lang w:val="en-US"/>
        </w:rPr>
        <w:t xml:space="preserve"> delovi postrojenja koja se koriste za istraživanje, razvoj i testiranje novih proizvoda i procesa i postrojenja koja isključivo koriste biomasu nisu obuhvaćena ovim prilogom, u skladu sa zakonom kojim se uređuju klimatske promene. </w:t>
      </w:r>
    </w:p>
    <w:p w14:paraId="436643F7"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lastRenderedPageBreak/>
        <w:t xml:space="preserve">Granične vrednosti iz ovog priloga uglavnom se odnose </w:t>
      </w:r>
      <w:proofErr w:type="gramStart"/>
      <w:r w:rsidRPr="00E70069">
        <w:rPr>
          <w:rFonts w:ascii="Arial" w:eastAsia="Times New Roman" w:hAnsi="Arial" w:cs="Arial"/>
          <w:lang w:val="en-US"/>
        </w:rPr>
        <w:t>na</w:t>
      </w:r>
      <w:proofErr w:type="gramEnd"/>
      <w:r w:rsidRPr="00E70069">
        <w:rPr>
          <w:rFonts w:ascii="Arial" w:eastAsia="Times New Roman" w:hAnsi="Arial" w:cs="Arial"/>
          <w:lang w:val="en-US"/>
        </w:rPr>
        <w:t xml:space="preserve"> proizvodne kapacitete ili izlaze. </w:t>
      </w:r>
      <w:proofErr w:type="gramStart"/>
      <w:r w:rsidRPr="00E70069">
        <w:rPr>
          <w:rFonts w:ascii="Arial" w:eastAsia="Times New Roman" w:hAnsi="Arial" w:cs="Arial"/>
          <w:lang w:val="en-US"/>
        </w:rPr>
        <w:t>U slučaju kada nekoliko aktivnosti potpada pod istu vrstu i vrše se u istom postrojenju, kapaciteti tih aktivnosti se sabiraju.</w:t>
      </w:r>
      <w:proofErr w:type="gramEnd"/>
      <w:r w:rsidRPr="00E70069">
        <w:rPr>
          <w:rFonts w:ascii="Arial" w:eastAsia="Times New Roman" w:hAnsi="Arial" w:cs="Arial"/>
          <w:lang w:val="en-US"/>
        </w:rPr>
        <w:t xml:space="preserve"> </w:t>
      </w:r>
    </w:p>
    <w:p w14:paraId="454A3A1D"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proofErr w:type="gramStart"/>
      <w:r w:rsidRPr="00E70069">
        <w:rPr>
          <w:rFonts w:ascii="Arial" w:eastAsia="Times New Roman" w:hAnsi="Arial" w:cs="Arial"/>
          <w:lang w:val="en-US"/>
        </w:rPr>
        <w:t>Procenjeni toplotni ulaz jednog postrojenja izračunava se sabiranjem procenjenih toplotnih ulaza svih tehničkih jedinica koje su njegov deo, a gde se gorivo sagoreva unutar postrojenja.</w:t>
      </w:r>
      <w:proofErr w:type="gramEnd"/>
      <w:r w:rsidRPr="00E70069">
        <w:rPr>
          <w:rFonts w:ascii="Arial" w:eastAsia="Times New Roman" w:hAnsi="Arial" w:cs="Arial"/>
          <w:lang w:val="en-US"/>
        </w:rPr>
        <w:t xml:space="preserve"> Ove jedinice mogu da obuhvate sve vrste kotlova, gorionika, turbina, grejača, industrijske peći, peći za spaljivanje, kalcinatora, peći za sušenje, peći za pečenje, sušara, motora, ćelija za gorivo, CLC jedinice, baklje i termička ili katalitička postrojenja za naknadno sagorevanje. Jedinice </w:t>
      </w:r>
      <w:proofErr w:type="gramStart"/>
      <w:r w:rsidRPr="00E70069">
        <w:rPr>
          <w:rFonts w:ascii="Arial" w:eastAsia="Times New Roman" w:hAnsi="Arial" w:cs="Arial"/>
          <w:lang w:val="en-US"/>
        </w:rPr>
        <w:t>sa</w:t>
      </w:r>
      <w:proofErr w:type="gramEnd"/>
      <w:r w:rsidRPr="00E70069">
        <w:rPr>
          <w:rFonts w:ascii="Arial" w:eastAsia="Times New Roman" w:hAnsi="Arial" w:cs="Arial"/>
          <w:lang w:val="en-US"/>
        </w:rPr>
        <w:t xml:space="preserve"> nominalnim toplotnim ulazom nižim od 3 MW, kao i jedinice koje isključivo rade na biomasu ne uzimaju se u obzir za potrebe ovog proračuna. </w:t>
      </w:r>
      <w:proofErr w:type="gramStart"/>
      <w:r w:rsidRPr="00E70069">
        <w:rPr>
          <w:rFonts w:ascii="Arial" w:eastAsia="Times New Roman" w:hAnsi="Arial" w:cs="Arial"/>
          <w:lang w:val="en-US"/>
        </w:rPr>
        <w:t>Jedinice koje koriste isključivo biomasu uključuju i jedinice koje koriste fosilna goriva samo prilikom pokretanja i zaustavljanja jedinice.</w:t>
      </w:r>
      <w:proofErr w:type="gramEnd"/>
      <w:r w:rsidRPr="00E70069">
        <w:rPr>
          <w:rFonts w:ascii="Arial" w:eastAsia="Times New Roman" w:hAnsi="Arial" w:cs="Arial"/>
          <w:lang w:val="en-US"/>
        </w:rPr>
        <w:t xml:space="preserve"> </w:t>
      </w:r>
    </w:p>
    <w:p w14:paraId="4BA44D24"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Ako se utvrdi da je granična vrednost kapaciteta bilo koje aktivnosti navedene u ovom prilogu prekoračena u postrojenju, sve jedinice u kojima se sagorevaju goriva, osim jedinica za insineraciju opasnog </w:t>
      </w:r>
      <w:proofErr w:type="gramStart"/>
      <w:r w:rsidRPr="00E70069">
        <w:rPr>
          <w:rFonts w:ascii="Arial" w:eastAsia="Times New Roman" w:hAnsi="Arial" w:cs="Arial"/>
          <w:lang w:val="en-US"/>
        </w:rPr>
        <w:t>ili</w:t>
      </w:r>
      <w:proofErr w:type="gramEnd"/>
      <w:r w:rsidRPr="00E70069">
        <w:rPr>
          <w:rFonts w:ascii="Arial" w:eastAsia="Times New Roman" w:hAnsi="Arial" w:cs="Arial"/>
          <w:lang w:val="en-US"/>
        </w:rPr>
        <w:t xml:space="preserve"> komunalnog otpada, obuhvaćene su dozvolom za emisiju GHG. </w:t>
      </w:r>
    </w:p>
    <w:p w14:paraId="7930396A" w14:textId="77777777" w:rsidR="00E70069" w:rsidRPr="00E70069" w:rsidRDefault="00E70069" w:rsidP="00E70069">
      <w:pPr>
        <w:spacing w:after="0" w:line="240" w:lineRule="auto"/>
        <w:jc w:val="center"/>
        <w:rPr>
          <w:rFonts w:ascii="Arial" w:eastAsia="Times New Roman" w:hAnsi="Arial" w:cs="Arial"/>
          <w:b/>
          <w:bCs/>
          <w:sz w:val="31"/>
          <w:szCs w:val="31"/>
          <w:lang w:val="en-US"/>
        </w:rPr>
      </w:pPr>
      <w:r w:rsidRPr="00E70069">
        <w:rPr>
          <w:rFonts w:ascii="Arial" w:eastAsia="Times New Roman" w:hAnsi="Arial" w:cs="Arial"/>
          <w:b/>
          <w:bCs/>
          <w:sz w:val="31"/>
          <w:szCs w:val="31"/>
          <w:lang w:val="en-US"/>
        </w:rPr>
        <w:t xml:space="preserve">Prilog 2 </w:t>
      </w:r>
    </w:p>
    <w:p w14:paraId="4A178175" w14:textId="77777777" w:rsidR="00E70069" w:rsidRPr="00E70069" w:rsidRDefault="00E70069" w:rsidP="00E70069">
      <w:pPr>
        <w:spacing w:after="0" w:line="240" w:lineRule="auto"/>
        <w:jc w:val="center"/>
        <w:rPr>
          <w:rFonts w:ascii="Arial" w:eastAsia="Times New Roman" w:hAnsi="Arial" w:cs="Arial"/>
          <w:b/>
          <w:bCs/>
          <w:sz w:val="31"/>
          <w:szCs w:val="31"/>
          <w:lang w:val="en-US"/>
        </w:rPr>
      </w:pPr>
      <w:r w:rsidRPr="00E70069">
        <w:rPr>
          <w:rFonts w:ascii="Arial" w:eastAsia="Times New Roman" w:hAnsi="Arial" w:cs="Arial"/>
          <w:b/>
          <w:bCs/>
          <w:sz w:val="31"/>
          <w:szCs w:val="31"/>
          <w:lang w:val="en-US"/>
        </w:rPr>
        <w:t xml:space="preserve">VRSTE VAZDUHOPLOVNIH AKTIVNOSTI I GHG ZA KOJE NIJE POTREBNO DOSTAVITI PLAN MONITORINGA </w:t>
      </w:r>
    </w:p>
    <w:p w14:paraId="02CE395A" w14:textId="77777777" w:rsidR="00E70069" w:rsidRPr="00E70069" w:rsidRDefault="00E70069" w:rsidP="00E70069">
      <w:pPr>
        <w:spacing w:after="0" w:line="240" w:lineRule="auto"/>
        <w:rPr>
          <w:rFonts w:ascii="Arial" w:eastAsia="Times New Roman" w:hAnsi="Arial" w:cs="Arial"/>
          <w:sz w:val="26"/>
          <w:szCs w:val="26"/>
          <w:lang w:val="en-US"/>
        </w:rPr>
      </w:pPr>
      <w:r w:rsidRPr="00E7006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384"/>
        <w:gridCol w:w="1732"/>
      </w:tblGrid>
      <w:tr w:rsidR="00E70069" w:rsidRPr="00E70069" w14:paraId="53603F1A" w14:textId="77777777" w:rsidTr="00E70069">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14:paraId="3C7AEEFD" w14:textId="77777777" w:rsidR="00E70069" w:rsidRPr="00E70069" w:rsidRDefault="00E70069" w:rsidP="00E70069">
            <w:pPr>
              <w:spacing w:before="100" w:beforeAutospacing="1" w:after="100" w:afterAutospacing="1" w:line="240" w:lineRule="auto"/>
              <w:jc w:val="center"/>
              <w:rPr>
                <w:rFonts w:ascii="Arial" w:eastAsia="Times New Roman" w:hAnsi="Arial" w:cs="Arial"/>
                <w:lang w:val="en-US"/>
              </w:rPr>
            </w:pPr>
            <w:r w:rsidRPr="00E70069">
              <w:rPr>
                <w:rFonts w:ascii="Arial" w:eastAsia="Times New Roman" w:hAnsi="Arial" w:cs="Arial"/>
                <w:lang w:val="en-US"/>
              </w:rPr>
              <w:t xml:space="preserve">Vrste vazduhoplovnih aktivnosti za koje nije potrebno dostaviti plan monitoringa: </w:t>
            </w:r>
          </w:p>
        </w:tc>
        <w:tc>
          <w:tcPr>
            <w:tcW w:w="950" w:type="pct"/>
            <w:tcBorders>
              <w:top w:val="outset" w:sz="6" w:space="0" w:color="auto"/>
              <w:left w:val="outset" w:sz="6" w:space="0" w:color="auto"/>
              <w:bottom w:val="outset" w:sz="6" w:space="0" w:color="auto"/>
              <w:right w:val="outset" w:sz="6" w:space="0" w:color="auto"/>
            </w:tcBorders>
            <w:vAlign w:val="center"/>
            <w:hideMark/>
          </w:tcPr>
          <w:p w14:paraId="532F29B7" w14:textId="77777777" w:rsidR="00E70069" w:rsidRPr="00E70069" w:rsidRDefault="00E70069" w:rsidP="00E70069">
            <w:pPr>
              <w:spacing w:before="100" w:beforeAutospacing="1" w:after="100" w:afterAutospacing="1" w:line="240" w:lineRule="auto"/>
              <w:jc w:val="center"/>
              <w:rPr>
                <w:rFonts w:ascii="Arial" w:eastAsia="Times New Roman" w:hAnsi="Arial" w:cs="Arial"/>
                <w:lang w:val="en-US"/>
              </w:rPr>
            </w:pPr>
            <w:r w:rsidRPr="00E70069">
              <w:rPr>
                <w:rFonts w:ascii="Arial" w:eastAsia="Times New Roman" w:hAnsi="Arial" w:cs="Arial"/>
                <w:lang w:val="en-US"/>
              </w:rPr>
              <w:t xml:space="preserve">Vrste GHG: </w:t>
            </w:r>
          </w:p>
        </w:tc>
      </w:tr>
      <w:tr w:rsidR="00E70069" w:rsidRPr="00E70069" w14:paraId="7C63C40E" w14:textId="77777777" w:rsidTr="00E700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619852"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Letovi sa sletanjem u i poletanjem iz aerodroma koji se nalaze na teritoriji Republike Srbije i države članice Evropske unije na koju se odnosi Ugovor o funkcionisanju Evropske unije:</w:t>
            </w:r>
            <w:r w:rsidRPr="00E70069">
              <w:rPr>
                <w:rFonts w:ascii="Arial" w:eastAsia="Times New Roman" w:hAnsi="Arial" w:cs="Arial"/>
                <w:lang w:val="en-US"/>
              </w:rPr>
              <w:br/>
              <w:t>1) letovi koji se obavljaju isključivo zbog prevoza, po službenoj dužnosti, vladajućeg monarha i članova njegove uže porodice, šefa države, predsednika i članova vlade, države koja nije država članica Evropske unije, isključujući Republiku Srbiju, ako je to podržano sa odgovarajućim indikatorom statusa u planu leta;</w:t>
            </w:r>
            <w:r w:rsidRPr="00E70069">
              <w:rPr>
                <w:rFonts w:ascii="Arial" w:eastAsia="Times New Roman" w:hAnsi="Arial" w:cs="Arial"/>
                <w:lang w:val="en-US"/>
              </w:rPr>
              <w:br/>
              <w:t>2) vojni letovi koji se obavljaju vojnim vazduhoplovima, te carinski i policijski letovi;</w:t>
            </w:r>
            <w:r w:rsidRPr="00E70069">
              <w:rPr>
                <w:rFonts w:ascii="Arial" w:eastAsia="Times New Roman" w:hAnsi="Arial" w:cs="Arial"/>
                <w:lang w:val="en-US"/>
              </w:rPr>
              <w:br/>
              <w:t>3) letovi vezani uz potragu i spašavanje, letovi u svrhu gašenja požara, humanitarni letovi i letovi za potrebe hitne medicinske službe, koje odobri odgovarajući nadležni organ;</w:t>
            </w:r>
            <w:r w:rsidRPr="00E70069">
              <w:rPr>
                <w:rFonts w:ascii="Arial" w:eastAsia="Times New Roman" w:hAnsi="Arial" w:cs="Arial"/>
                <w:lang w:val="en-US"/>
              </w:rPr>
              <w:br/>
              <w:t>4) letovi koji se obavljaju isključivo prema pravilima vizuelnog letenja kako je utvrđeno u Prilogu 2. Konvencije o međunarodnom civilnom vazduhoplovstvu ("Službeni list FNRJ - Međunarodni ugovori", broj 3/54 i "Službeni list SFRJ - Međunarodni ugovori", broj 11/80) i propisu kojim se uređuje letenje vazduhoplova u Republici Srbiji;</w:t>
            </w:r>
            <w:r w:rsidRPr="00E70069">
              <w:rPr>
                <w:rFonts w:ascii="Arial" w:eastAsia="Times New Roman" w:hAnsi="Arial" w:cs="Arial"/>
                <w:lang w:val="en-US"/>
              </w:rPr>
              <w:br/>
              <w:t>5) letovi koji završavaju u aerodromu iz koje je predmetni vazduhoplov poleteo i tokom kojih nije bilo sletanja;</w:t>
            </w:r>
            <w:r w:rsidRPr="00E70069">
              <w:rPr>
                <w:rFonts w:ascii="Arial" w:eastAsia="Times New Roman" w:hAnsi="Arial" w:cs="Arial"/>
                <w:lang w:val="en-US"/>
              </w:rPr>
              <w:br/>
              <w:t>6) trenažni letovi koji se sprovode isključivo radi sticanja dozvole ili licence, ako se radi o letačkoj posadi, ako je to popraćeno odgovarajućom napomenom u planu leta, pod uslovom da ti letovi ne služe za prevoz putnika i/ili tereta, niti za prazni ili tehnički let vazduhoplova;</w:t>
            </w:r>
            <w:r w:rsidRPr="00E70069">
              <w:rPr>
                <w:rFonts w:ascii="Arial" w:eastAsia="Times New Roman" w:hAnsi="Arial" w:cs="Arial"/>
                <w:lang w:val="en-US"/>
              </w:rPr>
              <w:br/>
              <w:t>7) letovi koji se obavljaju isključivo u svrhu naučnog istraživanja ili u svrhu provere, testiranja ili sertifikovanja vazduhoplova, opreme vazduhoplova ili zemaljske opreme;</w:t>
            </w:r>
            <w:r w:rsidRPr="00E70069">
              <w:rPr>
                <w:rFonts w:ascii="Arial" w:eastAsia="Times New Roman" w:hAnsi="Arial" w:cs="Arial"/>
                <w:lang w:val="en-US"/>
              </w:rPr>
              <w:br/>
              <w:t xml:space="preserve">8) letovi koje obavljaju vazduhoplovi čija je najveća sertificirana uzletna </w:t>
            </w:r>
            <w:r w:rsidRPr="00E70069">
              <w:rPr>
                <w:rFonts w:ascii="Arial" w:eastAsia="Times New Roman" w:hAnsi="Arial" w:cs="Arial"/>
                <w:lang w:val="en-US"/>
              </w:rPr>
              <w:lastRenderedPageBreak/>
              <w:t xml:space="preserve">masa ispod 5700 kg; </w:t>
            </w:r>
            <w:r w:rsidRPr="00E70069">
              <w:rPr>
                <w:rFonts w:ascii="Arial" w:eastAsia="Times New Roman" w:hAnsi="Arial" w:cs="Arial"/>
                <w:lang w:val="en-US"/>
              </w:rPr>
              <w:br/>
              <w:t>9) letovi koji se obavljaju u okviru obaveza javnih službi, utvrđenih u propisu kojim se uređuje operativna dozvola i zajednička pravila za obavljanje javnog avio prevoza na linijama gde ponuđeni kapaciteti ne prelaze 30.000 sedišta godišnje;</w:t>
            </w:r>
            <w:r w:rsidRPr="00E70069">
              <w:rPr>
                <w:rFonts w:ascii="Arial" w:eastAsia="Times New Roman" w:hAnsi="Arial" w:cs="Arial"/>
                <w:lang w:val="en-US"/>
              </w:rPr>
              <w:br/>
              <w:t>10) letovi, ako ih obavlja operater u komercijalnom vazduhoplovnom prevozu:</w:t>
            </w:r>
            <w:r w:rsidRPr="00E70069">
              <w:rPr>
                <w:rFonts w:ascii="Arial" w:eastAsia="Times New Roman" w:hAnsi="Arial" w:cs="Arial"/>
                <w:lang w:val="en-US"/>
              </w:rPr>
              <w:br/>
              <w:t>     (1) koji ostvari manje od 243 leta po periodu tokom tri uzastopna četvoromesečna perioda, ili</w:t>
            </w:r>
            <w:r w:rsidRPr="00E70069">
              <w:rPr>
                <w:rFonts w:ascii="Arial" w:eastAsia="Times New Roman" w:hAnsi="Arial" w:cs="Arial"/>
                <w:lang w:val="en-US"/>
              </w:rPr>
              <w:br/>
              <w:t>     (2) čije ukupne godišnje emisije iz svih letova iznose manje od 10.000 t.</w:t>
            </w:r>
            <w:r w:rsidRPr="00E70069">
              <w:rPr>
                <w:rFonts w:ascii="Arial" w:eastAsia="Times New Roman" w:hAnsi="Arial" w:cs="Arial"/>
                <w:lang w:val="en-US"/>
              </w:rPr>
              <w:br/>
              <w:t>Letovi iz tač. 12) i 13) ovog priloga ili letovi koji se obavljaju isključivo radi prevoza, po službenoj dužnosti, vladajućeg monarha i članova njegove uže porodice, šefa države, predsednika i članova vlada Republike Srbije i neke države članice Evropske unije, po ovoj tački ne smeju se isključiti;</w:t>
            </w:r>
            <w:r w:rsidRPr="00E70069">
              <w:rPr>
                <w:rFonts w:ascii="Arial" w:eastAsia="Times New Roman" w:hAnsi="Arial" w:cs="Arial"/>
                <w:lang w:val="en-US"/>
              </w:rPr>
              <w:br/>
              <w:t xml:space="preserve">11) letovi koje obavlja nekomercijalni operater vazduhoplova koji obavlja letove sa ukupnim godišnjim emisijama manjim od 1000 t godišnje (uključujući emisije iz letova iz tačke 12) ovog priloga), od dana stupanja na snagu ove uredbe do 31. </w:t>
            </w:r>
            <w:proofErr w:type="gramStart"/>
            <w:r w:rsidRPr="00E70069">
              <w:rPr>
                <w:rFonts w:ascii="Arial" w:eastAsia="Times New Roman" w:hAnsi="Arial" w:cs="Arial"/>
                <w:lang w:val="en-US"/>
              </w:rPr>
              <w:t>decembra</w:t>
            </w:r>
            <w:proofErr w:type="gramEnd"/>
            <w:r w:rsidRPr="00E70069">
              <w:rPr>
                <w:rFonts w:ascii="Arial" w:eastAsia="Times New Roman" w:hAnsi="Arial" w:cs="Arial"/>
                <w:lang w:val="en-US"/>
              </w:rPr>
              <w:t xml:space="preserve"> 2030. godine</w:t>
            </w:r>
            <w:proofErr w:type="gramStart"/>
            <w:r w:rsidRPr="00E70069">
              <w:rPr>
                <w:rFonts w:ascii="Arial" w:eastAsia="Times New Roman" w:hAnsi="Arial" w:cs="Arial"/>
                <w:lang w:val="en-US"/>
              </w:rPr>
              <w:t>;</w:t>
            </w:r>
            <w:proofErr w:type="gramEnd"/>
            <w:r w:rsidRPr="00E70069">
              <w:rPr>
                <w:rFonts w:ascii="Arial" w:eastAsia="Times New Roman" w:hAnsi="Arial" w:cs="Arial"/>
                <w:lang w:val="en-US"/>
              </w:rPr>
              <w:br/>
              <w:t>12) letovi iz aerodroma u Švajcarskoj Konfederaciji prema aerodromima u Evropskom ekonomskom prostoru;</w:t>
            </w:r>
            <w:r w:rsidRPr="00E70069">
              <w:rPr>
                <w:rFonts w:ascii="Arial" w:eastAsia="Times New Roman" w:hAnsi="Arial" w:cs="Arial"/>
                <w:lang w:val="en-US"/>
              </w:rPr>
              <w:br/>
              <w:t xml:space="preserve">13) letovi iz aerodroma u Ujedinjenom Kraljevstvu prema aerodromima u Evropskom ekonomskom prostoru.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11D4D64"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lastRenderedPageBreak/>
              <w:t xml:space="preserve">Ugljen-dioksid </w:t>
            </w:r>
          </w:p>
          <w:p w14:paraId="0C2ED9BC" w14:textId="77777777" w:rsidR="00E70069" w:rsidRPr="00E70069" w:rsidRDefault="00E70069" w:rsidP="00E70069">
            <w:pPr>
              <w:spacing w:before="100" w:beforeAutospacing="1" w:after="100" w:afterAutospacing="1" w:line="240" w:lineRule="auto"/>
              <w:rPr>
                <w:rFonts w:ascii="Arial" w:eastAsia="Times New Roman" w:hAnsi="Arial" w:cs="Arial"/>
                <w:lang w:val="en-US"/>
              </w:rPr>
            </w:pPr>
            <w:r w:rsidRPr="00E70069">
              <w:rPr>
                <w:rFonts w:ascii="Arial" w:eastAsia="Times New Roman" w:hAnsi="Arial" w:cs="Arial"/>
                <w:lang w:val="en-US"/>
              </w:rPr>
              <w:t xml:space="preserve">  </w:t>
            </w:r>
          </w:p>
        </w:tc>
      </w:tr>
    </w:tbl>
    <w:p w14:paraId="4555F4AB"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69"/>
    <w:rsid w:val="000D29C5"/>
    <w:rsid w:val="000D50D0"/>
    <w:rsid w:val="00A70F32"/>
    <w:rsid w:val="00A826D5"/>
    <w:rsid w:val="00CE434E"/>
    <w:rsid w:val="00E70069"/>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E70069"/>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70069"/>
    <w:rPr>
      <w:rFonts w:ascii="Times New Roman" w:eastAsia="Times New Roman" w:hAnsi="Times New Roman" w:cs="Times New Roman"/>
      <w:b/>
      <w:bCs/>
      <w:sz w:val="15"/>
      <w:szCs w:val="15"/>
      <w:lang w:val="en-US"/>
    </w:rPr>
  </w:style>
  <w:style w:type="paragraph" w:customStyle="1" w:styleId="clan">
    <w:name w:val="clan"/>
    <w:basedOn w:val="Normal"/>
    <w:rsid w:val="00E70069"/>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E70069"/>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E70069"/>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E70069"/>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E70069"/>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E70069"/>
    <w:pPr>
      <w:spacing w:after="0" w:line="240" w:lineRule="auto"/>
      <w:jc w:val="center"/>
    </w:pPr>
    <w:rPr>
      <w:rFonts w:ascii="Arial" w:eastAsia="Times New Roman" w:hAnsi="Arial" w:cs="Arial"/>
      <w:b/>
      <w:bCs/>
      <w:sz w:val="31"/>
      <w:szCs w:val="31"/>
      <w:lang w:val="en-US"/>
    </w:rPr>
  </w:style>
  <w:style w:type="character" w:customStyle="1" w:styleId="indeks1">
    <w:name w:val="indeks1"/>
    <w:basedOn w:val="DefaultParagraphFont"/>
    <w:rsid w:val="00E70069"/>
    <w:rPr>
      <w:sz w:val="15"/>
      <w:szCs w:val="15"/>
      <w:vertAlign w:val="subscript"/>
    </w:rPr>
  </w:style>
  <w:style w:type="paragraph" w:styleId="Title">
    <w:name w:val="Title"/>
    <w:basedOn w:val="Normal"/>
    <w:next w:val="Normal"/>
    <w:link w:val="TitleChar"/>
    <w:uiPriority w:val="10"/>
    <w:qFormat/>
    <w:rsid w:val="000D29C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9C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D29C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D29C5"/>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E70069"/>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70069"/>
    <w:rPr>
      <w:rFonts w:ascii="Times New Roman" w:eastAsia="Times New Roman" w:hAnsi="Times New Roman" w:cs="Times New Roman"/>
      <w:b/>
      <w:bCs/>
      <w:sz w:val="15"/>
      <w:szCs w:val="15"/>
      <w:lang w:val="en-US"/>
    </w:rPr>
  </w:style>
  <w:style w:type="paragraph" w:customStyle="1" w:styleId="clan">
    <w:name w:val="clan"/>
    <w:basedOn w:val="Normal"/>
    <w:rsid w:val="00E70069"/>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E70069"/>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E70069"/>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E70069"/>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E70069"/>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E70069"/>
    <w:pPr>
      <w:spacing w:after="0" w:line="240" w:lineRule="auto"/>
      <w:jc w:val="center"/>
    </w:pPr>
    <w:rPr>
      <w:rFonts w:ascii="Arial" w:eastAsia="Times New Roman" w:hAnsi="Arial" w:cs="Arial"/>
      <w:b/>
      <w:bCs/>
      <w:sz w:val="31"/>
      <w:szCs w:val="31"/>
      <w:lang w:val="en-US"/>
    </w:rPr>
  </w:style>
  <w:style w:type="character" w:customStyle="1" w:styleId="indeks1">
    <w:name w:val="indeks1"/>
    <w:basedOn w:val="DefaultParagraphFont"/>
    <w:rsid w:val="00E70069"/>
    <w:rPr>
      <w:sz w:val="15"/>
      <w:szCs w:val="15"/>
      <w:vertAlign w:val="subscript"/>
    </w:rPr>
  </w:style>
  <w:style w:type="paragraph" w:styleId="Title">
    <w:name w:val="Title"/>
    <w:basedOn w:val="Normal"/>
    <w:next w:val="Normal"/>
    <w:link w:val="TitleChar"/>
    <w:uiPriority w:val="10"/>
    <w:qFormat/>
    <w:rsid w:val="000D29C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9C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D29C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D29C5"/>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2022-03-01T12:59:00Z</dcterms:created>
  <dcterms:modified xsi:type="dcterms:W3CDTF">2022-06-30T07:49:00Z</dcterms:modified>
</cp:coreProperties>
</file>