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6F298" w14:textId="77777777" w:rsidR="001C6362" w:rsidRPr="001C6362" w:rsidRDefault="001C6362" w:rsidP="001C6362">
      <w:pPr>
        <w:pStyle w:val="Title"/>
        <w:jc w:val="center"/>
      </w:pPr>
      <w:bookmarkStart w:id="0" w:name="clan_1"/>
      <w:bookmarkStart w:id="1" w:name="_GoBack"/>
      <w:bookmarkEnd w:id="0"/>
      <w:bookmarkEnd w:id="1"/>
      <w:r w:rsidRPr="001C6362">
        <w:t>UREDBA</w:t>
      </w:r>
    </w:p>
    <w:p w14:paraId="6D258B94" w14:textId="77777777" w:rsidR="001C6362" w:rsidRPr="001C6362" w:rsidRDefault="001C6362" w:rsidP="001C6362">
      <w:pPr>
        <w:pStyle w:val="Title"/>
        <w:jc w:val="center"/>
      </w:pPr>
      <w:r w:rsidRPr="001C6362">
        <w:t>O UTVRĐIVANJU PROGRAMA FINANSIRANJA AKTIVNOSTI I MERA UNAPREĐENJA ENERGETSKE EFIKASNOSTI U 2022. GODINI</w:t>
      </w:r>
    </w:p>
    <w:p w14:paraId="616A79FE" w14:textId="655D3A68" w:rsidR="001C6362" w:rsidRDefault="001C6362" w:rsidP="001C6362">
      <w:pPr>
        <w:pStyle w:val="Subtitle"/>
        <w:jc w:val="center"/>
        <w:rPr>
          <w:rFonts w:eastAsia="Times New Roman"/>
          <w:b/>
          <w:bCs/>
          <w:lang w:val="en-US"/>
        </w:rPr>
      </w:pPr>
      <w:r w:rsidRPr="00737C11">
        <w:rPr>
          <w:rFonts w:eastAsia="Times New Roman"/>
          <w:lang w:val="en-US"/>
        </w:rPr>
        <w:t>("Sl. glasnik RS", br. 10/2022)</w:t>
      </w:r>
    </w:p>
    <w:p w14:paraId="37581A13" w14:textId="77777777" w:rsidR="00737C11" w:rsidRPr="00737C11" w:rsidRDefault="00737C11" w:rsidP="00737C1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737C1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1 </w:t>
      </w:r>
    </w:p>
    <w:p w14:paraId="49ED0F29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737C11">
        <w:rPr>
          <w:rFonts w:ascii="Arial" w:eastAsia="Times New Roman" w:hAnsi="Arial" w:cs="Arial"/>
          <w:lang w:val="en-US"/>
        </w:rPr>
        <w:t>Ovom uredbom utvrđuje se Program finansiranja aktivnosti i mera unapređenja energetske efikasnosti u 2022.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737C11">
        <w:rPr>
          <w:rFonts w:ascii="Arial" w:eastAsia="Times New Roman" w:hAnsi="Arial" w:cs="Arial"/>
          <w:lang w:val="en-US"/>
        </w:rPr>
        <w:t>godini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, koji je odštampan uz ovu uredbu i čini njen sastavni deo. </w:t>
      </w:r>
    </w:p>
    <w:p w14:paraId="266B83F1" w14:textId="77777777" w:rsidR="00737C11" w:rsidRPr="00737C11" w:rsidRDefault="00737C11" w:rsidP="00737C1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" w:name="clan_2"/>
      <w:bookmarkEnd w:id="2"/>
      <w:r w:rsidRPr="00737C1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2 </w:t>
      </w:r>
    </w:p>
    <w:p w14:paraId="05B18B8C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Aktivnosti i mere unapređenja energetske efikasnosti, koje </w:t>
      </w:r>
      <w:proofErr w:type="gramStart"/>
      <w:r w:rsidRPr="00737C11">
        <w:rPr>
          <w:rFonts w:ascii="Arial" w:eastAsia="Times New Roman" w:hAnsi="Arial" w:cs="Arial"/>
          <w:lang w:val="en-US"/>
        </w:rPr>
        <w:t>će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se finansirati u 2022. </w:t>
      </w:r>
      <w:proofErr w:type="gramStart"/>
      <w:r w:rsidRPr="00737C11">
        <w:rPr>
          <w:rFonts w:ascii="Arial" w:eastAsia="Times New Roman" w:hAnsi="Arial" w:cs="Arial"/>
          <w:lang w:val="en-US"/>
        </w:rPr>
        <w:t>godini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, kao i iznos sredstava za obavljanje tih aktivnosti i mera utvrđeni su programom iz člana 1. </w:t>
      </w:r>
      <w:proofErr w:type="gramStart"/>
      <w:r w:rsidRPr="00737C11">
        <w:rPr>
          <w:rFonts w:ascii="Arial" w:eastAsia="Times New Roman" w:hAnsi="Arial" w:cs="Arial"/>
          <w:lang w:val="en-US"/>
        </w:rPr>
        <w:t>ove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uredbe. </w:t>
      </w:r>
    </w:p>
    <w:p w14:paraId="074328EB" w14:textId="77777777" w:rsidR="00737C11" w:rsidRPr="00737C11" w:rsidRDefault="00737C11" w:rsidP="00737C1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" w:name="clan_3"/>
      <w:bookmarkEnd w:id="3"/>
      <w:r w:rsidRPr="00737C1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3 </w:t>
      </w:r>
    </w:p>
    <w:p w14:paraId="3685758C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Ova uredba stupa </w:t>
      </w:r>
      <w:proofErr w:type="gramStart"/>
      <w:r w:rsidRPr="00737C11">
        <w:rPr>
          <w:rFonts w:ascii="Arial" w:eastAsia="Times New Roman" w:hAnsi="Arial" w:cs="Arial"/>
          <w:lang w:val="en-US"/>
        </w:rPr>
        <w:t>na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snagu narednog dana od dana objavljivanja u "Službenom glasniku Republike Srbije". </w:t>
      </w:r>
    </w:p>
    <w:p w14:paraId="38FB3BD9" w14:textId="77777777" w:rsidR="00737C11" w:rsidRPr="00737C11" w:rsidRDefault="00737C11" w:rsidP="00737C11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737C11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p w14:paraId="1933D252" w14:textId="77777777" w:rsidR="00737C11" w:rsidRPr="00737C11" w:rsidRDefault="00737C11" w:rsidP="00737C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en-US"/>
        </w:rPr>
      </w:pPr>
      <w:bookmarkStart w:id="4" w:name="str_1"/>
      <w:bookmarkEnd w:id="4"/>
      <w:r w:rsidRPr="00737C11">
        <w:rPr>
          <w:rFonts w:ascii="Arial" w:eastAsia="Times New Roman" w:hAnsi="Arial" w:cs="Arial"/>
          <w:b/>
          <w:bCs/>
          <w:sz w:val="31"/>
          <w:szCs w:val="31"/>
          <w:lang w:val="en-US"/>
        </w:rPr>
        <w:t>PROGRAM</w:t>
      </w:r>
      <w:r w:rsidRPr="00737C11">
        <w:rPr>
          <w:rFonts w:ascii="Arial" w:eastAsia="Times New Roman" w:hAnsi="Arial" w:cs="Arial"/>
          <w:b/>
          <w:bCs/>
          <w:sz w:val="31"/>
          <w:szCs w:val="31"/>
          <w:lang w:val="en-US"/>
        </w:rPr>
        <w:br/>
        <w:t xml:space="preserve">FINANSIRANJA AKTIVNOSTI I MERA UNAPREĐENJA ENERGETSKE EFIKASNOSTI U 2022. GODINI </w:t>
      </w:r>
    </w:p>
    <w:p w14:paraId="74184923" w14:textId="77777777" w:rsidR="00737C11" w:rsidRPr="00737C11" w:rsidRDefault="00737C11" w:rsidP="00737C11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737C11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p w14:paraId="62BAAA24" w14:textId="77777777" w:rsidR="00737C11" w:rsidRPr="00737C11" w:rsidRDefault="00737C11" w:rsidP="00737C11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5" w:name="str_2"/>
      <w:bookmarkEnd w:id="5"/>
      <w:r w:rsidRPr="00737C11">
        <w:rPr>
          <w:rFonts w:ascii="Arial" w:eastAsia="Times New Roman" w:hAnsi="Arial" w:cs="Arial"/>
          <w:sz w:val="31"/>
          <w:szCs w:val="31"/>
          <w:lang w:val="en-US"/>
        </w:rPr>
        <w:t xml:space="preserve">I. UVOD </w:t>
      </w:r>
    </w:p>
    <w:p w14:paraId="2E1E0C9B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Strategijom razvoja energetike Republike Srbije do 2025. </w:t>
      </w:r>
      <w:proofErr w:type="gramStart"/>
      <w:r w:rsidRPr="00737C11">
        <w:rPr>
          <w:rFonts w:ascii="Arial" w:eastAsia="Times New Roman" w:hAnsi="Arial" w:cs="Arial"/>
          <w:lang w:val="en-US"/>
        </w:rPr>
        <w:t>godine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sa projekcijama do 2030. </w:t>
      </w:r>
      <w:proofErr w:type="gramStart"/>
      <w:r w:rsidRPr="00737C11">
        <w:rPr>
          <w:rFonts w:ascii="Arial" w:eastAsia="Times New Roman" w:hAnsi="Arial" w:cs="Arial"/>
          <w:lang w:val="en-US"/>
        </w:rPr>
        <w:t>godine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("Službeni glasnik RS", broj 101/15), energetska efikasnost i veće korišćenje obnovljivih izvora energije svrstani su među prioritete. </w:t>
      </w:r>
    </w:p>
    <w:p w14:paraId="51D674DE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Unapređenje energetske efikasnosti, kako u sektorima proizvodnje, tako i u sektorima potrošnje energije prepoznato je kao jedan od ključnih elemenata energetske politike Republike Srbije, s obzirom da doprinosi sigurnosti snabdevanja energijom, smanjenju potrošnje energije u privatnom i komercijalnom sektoru, povećanju konkurentnosti industrije i povećanju standarda građana, odnosno doprinosi smanjenju uvozne zavisnosti i smanjenju negativnih efekata sektora energetike na životnu sredinu, a naročito emisije gasova koji stvaraju efekat staklene bašte. S obzirom </w:t>
      </w:r>
      <w:proofErr w:type="gramStart"/>
      <w:r w:rsidRPr="00737C11">
        <w:rPr>
          <w:rFonts w:ascii="Arial" w:eastAsia="Times New Roman" w:hAnsi="Arial" w:cs="Arial"/>
          <w:lang w:val="en-US"/>
        </w:rPr>
        <w:t>na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tendenciju ka dekarbonizaciji energetska </w:t>
      </w:r>
      <w:r w:rsidRPr="00737C11">
        <w:rPr>
          <w:rFonts w:ascii="Arial" w:eastAsia="Times New Roman" w:hAnsi="Arial" w:cs="Arial"/>
          <w:lang w:val="en-US"/>
        </w:rPr>
        <w:lastRenderedPageBreak/>
        <w:t xml:space="preserve">efikasnost u narednom periodu imaće još značajniju ulogu što će biti reflektovano setom strateških dokumenta čija je izrada u toku. </w:t>
      </w:r>
    </w:p>
    <w:p w14:paraId="2B4E4B55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Zakonodavno-pravni okvir za uređivanje efikasnog korišćenja energije u Republici Srbiji uspostavljen je usvajanjem Zakona o energetskoj efikasnosti i racionalnoj upotrebi energije ("Službeni glasnik RS", broj 40/21 - u daljem tekstu: Zakon), Zakona o planiranju i izgradnji ("Službeni glasnik RS", br. 72/09, 81/09 - ispravka, 64/10 - US, 24/11, 121/12, 42/13 - US, 50/13 - US, 98/13 - US, 132/14, 145/14, 83/18, 31/19, 37/19 - dr. zakon, 9/20 i 52/21) i njihovim podzakonskim propisima. </w:t>
      </w:r>
    </w:p>
    <w:p w14:paraId="75ACB7D2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Na osnovu obaveza Republike Srbije koje proističu iz Ugovora o osnivanju Energetske zajednice između Evropske zajednice i Republike Albanije, Republike Bugarske, Bosne i Hercegovine, Republike Hrvatske, Bivše Jugoslovenske Republike Makedonije, Republike Crne Gore, Rumunije, Republike Srbije i Privremene Misije Ujedinjenih nacija na Kosovu u skladu sa Rezolucijom 1244 Saveta bezbednosti Ujedinjenih nacija, koji je potvrđen Zakonom o ratifikaciji Ugovora o osnivanju Energetske zajednice između Evropske zajednice i Republike Albanije, Republike Bugarske, Bosne i Hercegovine, Republike Hrvatske, Bivše Jugoslovenske Republike Makedonije, Republike Crne Gore, Rumunije, Republike Srbije i Privremene Misije Ujedinjenih nacija na Kosovu u skladu sa Rezolucijom 1244 Saveta bezbednosti Ujedinjenih nacija ("Službeni glasnik RS", broj 62/06), Odluke Ministarskog saveta Energetske zajednice broj D/2015/08/MC-EnC od 14. </w:t>
      </w:r>
      <w:proofErr w:type="gramStart"/>
      <w:r w:rsidRPr="00737C11">
        <w:rPr>
          <w:rFonts w:ascii="Arial" w:eastAsia="Times New Roman" w:hAnsi="Arial" w:cs="Arial"/>
          <w:lang w:val="en-US"/>
        </w:rPr>
        <w:t>avgusta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2015. </w:t>
      </w:r>
      <w:proofErr w:type="gramStart"/>
      <w:r w:rsidRPr="00737C11">
        <w:rPr>
          <w:rFonts w:ascii="Arial" w:eastAsia="Times New Roman" w:hAnsi="Arial" w:cs="Arial"/>
          <w:lang w:val="en-US"/>
        </w:rPr>
        <w:t>godine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o primeni Direktive 2012/27/EU Evropskog parlamenta i Saveta o energetskoj efikasnosti, kao i Zakona o efikasnom korišćenju energije, usvojen je Četvrti akcioni plan za energetsku efikasnost Republike Srbije za period do 31. </w:t>
      </w:r>
      <w:proofErr w:type="gramStart"/>
      <w:r w:rsidRPr="00737C11">
        <w:rPr>
          <w:rFonts w:ascii="Arial" w:eastAsia="Times New Roman" w:hAnsi="Arial" w:cs="Arial"/>
          <w:lang w:val="en-US"/>
        </w:rPr>
        <w:t>decembra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2021. </w:t>
      </w:r>
      <w:proofErr w:type="gramStart"/>
      <w:r w:rsidRPr="00737C11">
        <w:rPr>
          <w:rFonts w:ascii="Arial" w:eastAsia="Times New Roman" w:hAnsi="Arial" w:cs="Arial"/>
          <w:lang w:val="en-US"/>
        </w:rPr>
        <w:t>godine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("Službeni glasnik RS", broj 86/21 - u daljem tekstu: (4. APEE)). </w:t>
      </w:r>
      <w:proofErr w:type="gramStart"/>
      <w:r w:rsidRPr="00737C11">
        <w:rPr>
          <w:rFonts w:ascii="Arial" w:eastAsia="Times New Roman" w:hAnsi="Arial" w:cs="Arial"/>
          <w:lang w:val="en-US"/>
        </w:rPr>
        <w:t>Navedenim akcionim planom predviđen je niz mera za unapređenje energetske efikasnosti u sektorima domaćinstva, javnog i komercijalnog sektora, industrije, transporta i sektora proizvodnje energije.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737C11">
        <w:rPr>
          <w:rFonts w:ascii="Arial" w:eastAsia="Times New Roman" w:hAnsi="Arial" w:cs="Arial"/>
          <w:lang w:val="en-US"/>
        </w:rPr>
        <w:t>U okviru 4.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APEE utvrđen je indikativni cilj Republike Srbije do kraja 2021. </w:t>
      </w:r>
      <w:proofErr w:type="gramStart"/>
      <w:r w:rsidRPr="00737C11">
        <w:rPr>
          <w:rFonts w:ascii="Arial" w:eastAsia="Times New Roman" w:hAnsi="Arial" w:cs="Arial"/>
          <w:lang w:val="en-US"/>
        </w:rPr>
        <w:t>godine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prema kome potrošnja primarne energije ne treba da pređe 17,981 Mtoe primarne energije, a potrošnja finalne energije 13,103 Mtoe finalne energije za energetske svrhe. Ciljevi u oblasti energetske efikasnosti za naredni period (za 2030. i 2050. godinu) biće utvrđeni Integrisanim nacionalnim energetskim i klimatskim planom (INEKP), čija je izrada u toku u skladu </w:t>
      </w:r>
      <w:proofErr w:type="gramStart"/>
      <w:r w:rsidRPr="00737C11">
        <w:rPr>
          <w:rFonts w:ascii="Arial" w:eastAsia="Times New Roman" w:hAnsi="Arial" w:cs="Arial"/>
          <w:lang w:val="en-US"/>
        </w:rPr>
        <w:t>sa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Zakonom o energetici ("Službeni glasnik RS", br. 145/14, 95/18 - dr. zakon i 40/21) i čije se donošenje očekuje u 2022. </w:t>
      </w:r>
      <w:proofErr w:type="gramStart"/>
      <w:r w:rsidRPr="00737C11">
        <w:rPr>
          <w:rFonts w:ascii="Arial" w:eastAsia="Times New Roman" w:hAnsi="Arial" w:cs="Arial"/>
          <w:lang w:val="en-US"/>
        </w:rPr>
        <w:t>godini</w:t>
      </w:r>
      <w:proofErr w:type="gramEnd"/>
      <w:r w:rsidRPr="00737C11">
        <w:rPr>
          <w:rFonts w:ascii="Arial" w:eastAsia="Times New Roman" w:hAnsi="Arial" w:cs="Arial"/>
          <w:lang w:val="en-US"/>
        </w:rPr>
        <w:t>. Ciljevi u Evropskoj uniji predviđaju povećanje energetske efikasnosti za 32</w:t>
      </w:r>
      <w:proofErr w:type="gramStart"/>
      <w:r w:rsidRPr="00737C11">
        <w:rPr>
          <w:rFonts w:ascii="Arial" w:eastAsia="Times New Roman" w:hAnsi="Arial" w:cs="Arial"/>
          <w:lang w:val="en-US"/>
        </w:rPr>
        <w:t>,5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% do 2030. </w:t>
      </w:r>
      <w:proofErr w:type="gramStart"/>
      <w:r w:rsidRPr="00737C11">
        <w:rPr>
          <w:rFonts w:ascii="Arial" w:eastAsia="Times New Roman" w:hAnsi="Arial" w:cs="Arial"/>
          <w:lang w:val="en-US"/>
        </w:rPr>
        <w:t>godine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, pa se očekuje da ciljevi u narednom periodu za Republiku Srbiju budu takođe veoma ambiciozni. </w:t>
      </w:r>
    </w:p>
    <w:p w14:paraId="7E14D91D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Za dostizanje svih budućih ciljeva ključnu ulogu imaće Uprava za finansiranje i podsticanje energetske efikasnosti (u daljem tekstu: Uprava). Uspostavljanje održivog načina finansiranja projekata energetske efikasnosti kao prioritetne aktivnost prepoznato je u okviru Uredbe o utvrđivanju </w:t>
      </w:r>
      <w:proofErr w:type="gramStart"/>
      <w:r w:rsidRPr="00737C11">
        <w:rPr>
          <w:rFonts w:ascii="Arial" w:eastAsia="Times New Roman" w:hAnsi="Arial" w:cs="Arial"/>
          <w:lang w:val="en-US"/>
        </w:rPr>
        <w:t>Programa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ostvarivanja Strategije razvoja energetike Republike Srbije do 2025. </w:t>
      </w:r>
      <w:proofErr w:type="gramStart"/>
      <w:r w:rsidRPr="00737C11">
        <w:rPr>
          <w:rFonts w:ascii="Arial" w:eastAsia="Times New Roman" w:hAnsi="Arial" w:cs="Arial"/>
          <w:lang w:val="en-US"/>
        </w:rPr>
        <w:t>godine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sa projekcijama do 2030. </w:t>
      </w:r>
      <w:proofErr w:type="gramStart"/>
      <w:r w:rsidRPr="00737C11">
        <w:rPr>
          <w:rFonts w:ascii="Arial" w:eastAsia="Times New Roman" w:hAnsi="Arial" w:cs="Arial"/>
          <w:lang w:val="en-US"/>
        </w:rPr>
        <w:t>godine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za period od 2017. </w:t>
      </w:r>
      <w:proofErr w:type="gramStart"/>
      <w:r w:rsidRPr="00737C11">
        <w:rPr>
          <w:rFonts w:ascii="Arial" w:eastAsia="Times New Roman" w:hAnsi="Arial" w:cs="Arial"/>
          <w:lang w:val="en-US"/>
        </w:rPr>
        <w:t>do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2023. </w:t>
      </w:r>
      <w:proofErr w:type="gramStart"/>
      <w:r w:rsidRPr="00737C11">
        <w:rPr>
          <w:rFonts w:ascii="Arial" w:eastAsia="Times New Roman" w:hAnsi="Arial" w:cs="Arial"/>
          <w:lang w:val="en-US"/>
        </w:rPr>
        <w:t>godine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("Službeni glasnik RS", broj 104/17 - u daljem tekstu POS) kao i potreba da se za finansiranje energetske efikasnosti obezbede veća sredstva. POS je predvideo da se finansiranje posebno usmeri </w:t>
      </w:r>
      <w:proofErr w:type="gramStart"/>
      <w:r w:rsidRPr="00737C11">
        <w:rPr>
          <w:rFonts w:ascii="Arial" w:eastAsia="Times New Roman" w:hAnsi="Arial" w:cs="Arial"/>
          <w:lang w:val="en-US"/>
        </w:rPr>
        <w:t>na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domaćinstva, javni i komercijalni sektor. Uspostavljanje održivog mehanizma finansiranja predviđeno je i Programom ekonomskih reformi Republike Srbije za period </w:t>
      </w:r>
      <w:proofErr w:type="gramStart"/>
      <w:r w:rsidRPr="00737C11">
        <w:rPr>
          <w:rFonts w:ascii="Arial" w:eastAsia="Times New Roman" w:hAnsi="Arial" w:cs="Arial"/>
          <w:lang w:val="en-US"/>
        </w:rPr>
        <w:t>od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2021. </w:t>
      </w:r>
      <w:proofErr w:type="gramStart"/>
      <w:r w:rsidRPr="00737C11">
        <w:rPr>
          <w:rFonts w:ascii="Arial" w:eastAsia="Times New Roman" w:hAnsi="Arial" w:cs="Arial"/>
          <w:lang w:val="en-US"/>
        </w:rPr>
        <w:t>godine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do 2023. </w:t>
      </w:r>
      <w:proofErr w:type="gramStart"/>
      <w:r w:rsidRPr="00737C11">
        <w:rPr>
          <w:rFonts w:ascii="Arial" w:eastAsia="Times New Roman" w:hAnsi="Arial" w:cs="Arial"/>
          <w:lang w:val="en-US"/>
        </w:rPr>
        <w:t>godine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. </w:t>
      </w:r>
    </w:p>
    <w:p w14:paraId="00DA280C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Zakonom je osnovana Uprava za obavljanje izvršnih i stručnih poslova koji se odnose </w:t>
      </w:r>
      <w:proofErr w:type="gramStart"/>
      <w:r w:rsidRPr="00737C11">
        <w:rPr>
          <w:rFonts w:ascii="Arial" w:eastAsia="Times New Roman" w:hAnsi="Arial" w:cs="Arial"/>
          <w:lang w:val="en-US"/>
        </w:rPr>
        <w:t>na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finansiranje ili sufinansiranje poslova efikasnog korišćenja energije i primenu mera energetske efikasnosti a odnose se na realizaciju aktivnosti, i to naročito na: </w:t>
      </w:r>
    </w:p>
    <w:p w14:paraId="4C3F073C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737C11">
        <w:rPr>
          <w:rFonts w:ascii="Arial" w:eastAsia="Times New Roman" w:hAnsi="Arial" w:cs="Arial"/>
          <w:lang w:val="en-US"/>
        </w:rPr>
        <w:t>primenu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mera u cilju efikasnog korišćenja energije u sektorima proizvodnje, prenosa, distribucije i potrošnje energije; </w:t>
      </w:r>
    </w:p>
    <w:p w14:paraId="29056F74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lastRenderedPageBreak/>
        <w:t xml:space="preserve">2) </w:t>
      </w:r>
      <w:proofErr w:type="gramStart"/>
      <w:r w:rsidRPr="00737C11">
        <w:rPr>
          <w:rFonts w:ascii="Arial" w:eastAsia="Times New Roman" w:hAnsi="Arial" w:cs="Arial"/>
          <w:lang w:val="en-US"/>
        </w:rPr>
        <w:t>podsticanje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razvoja sistema energetskog menadžmenta; </w:t>
      </w:r>
    </w:p>
    <w:p w14:paraId="50916E3C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737C11">
        <w:rPr>
          <w:rFonts w:ascii="Arial" w:eastAsia="Times New Roman" w:hAnsi="Arial" w:cs="Arial"/>
          <w:lang w:val="en-US"/>
        </w:rPr>
        <w:t>promovisanje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i sprovođenje energetskih pregleda objekata/zgrada, proizvodnih procesa i usluga; </w:t>
      </w:r>
    </w:p>
    <w:p w14:paraId="763EDD5E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737C11">
        <w:rPr>
          <w:rFonts w:ascii="Arial" w:eastAsia="Times New Roman" w:hAnsi="Arial" w:cs="Arial"/>
          <w:lang w:val="en-US"/>
        </w:rPr>
        <w:t>podsticanje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korišćenja mikro-kogeneracijskih jedinica, ukoliko po osnovu istih mikro-kogeneracijskih jedinica nisu ostvareni drugi podsticaji u skladu sa ovim zakonom; </w:t>
      </w:r>
    </w:p>
    <w:p w14:paraId="64BF5CBA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5) </w:t>
      </w:r>
      <w:proofErr w:type="gramStart"/>
      <w:r w:rsidRPr="00737C11">
        <w:rPr>
          <w:rFonts w:ascii="Arial" w:eastAsia="Times New Roman" w:hAnsi="Arial" w:cs="Arial"/>
          <w:lang w:val="en-US"/>
        </w:rPr>
        <w:t>podsticanje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razvoja energetskih usluga na tržištu Republike Srbije; </w:t>
      </w:r>
    </w:p>
    <w:p w14:paraId="1C5535E5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6) </w:t>
      </w:r>
      <w:proofErr w:type="gramStart"/>
      <w:r w:rsidRPr="00737C11">
        <w:rPr>
          <w:rFonts w:ascii="Arial" w:eastAsia="Times New Roman" w:hAnsi="Arial" w:cs="Arial"/>
          <w:lang w:val="en-US"/>
        </w:rPr>
        <w:t>podsticanje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proizvodnje električne i toplotne energije iz obnovljivih izvora za sopstvene potrebe; </w:t>
      </w:r>
    </w:p>
    <w:p w14:paraId="0C01625E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7) </w:t>
      </w:r>
      <w:proofErr w:type="gramStart"/>
      <w:r w:rsidRPr="00737C11">
        <w:rPr>
          <w:rFonts w:ascii="Arial" w:eastAsia="Times New Roman" w:hAnsi="Arial" w:cs="Arial"/>
          <w:lang w:val="en-US"/>
        </w:rPr>
        <w:t>podizanje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svesti o značaju i efektima sprovođenja mera energetske efikasnosti; </w:t>
      </w:r>
    </w:p>
    <w:p w14:paraId="2C277143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8) </w:t>
      </w:r>
      <w:proofErr w:type="gramStart"/>
      <w:r w:rsidRPr="00737C11">
        <w:rPr>
          <w:rFonts w:ascii="Arial" w:eastAsia="Times New Roman" w:hAnsi="Arial" w:cs="Arial"/>
          <w:lang w:val="en-US"/>
        </w:rPr>
        <w:t>ostale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aktivnosti koje za cilj imaju efikasnije korišćenje energije. </w:t>
      </w:r>
    </w:p>
    <w:p w14:paraId="0030EB44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Korišćenje sredstava kojima raspolaže Uprava vrši se u skladu </w:t>
      </w:r>
      <w:proofErr w:type="gramStart"/>
      <w:r w:rsidRPr="00737C11">
        <w:rPr>
          <w:rFonts w:ascii="Arial" w:eastAsia="Times New Roman" w:hAnsi="Arial" w:cs="Arial"/>
          <w:lang w:val="en-US"/>
        </w:rPr>
        <w:t>sa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Programom finansiranja aktivnosti i mera unapređenja energetske efikasnosti u 2022. </w:t>
      </w:r>
      <w:proofErr w:type="gramStart"/>
      <w:r w:rsidRPr="00737C11">
        <w:rPr>
          <w:rFonts w:ascii="Arial" w:eastAsia="Times New Roman" w:hAnsi="Arial" w:cs="Arial"/>
          <w:lang w:val="en-US"/>
        </w:rPr>
        <w:t>godini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(u daljem tekstu: Program). </w:t>
      </w:r>
    </w:p>
    <w:p w14:paraId="6FBE2D99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Programom određuju se ciljevi programa, mere unapređenja energetske efikasnosti koje </w:t>
      </w:r>
      <w:proofErr w:type="gramStart"/>
      <w:r w:rsidRPr="00737C11">
        <w:rPr>
          <w:rFonts w:ascii="Arial" w:eastAsia="Times New Roman" w:hAnsi="Arial" w:cs="Arial"/>
          <w:lang w:val="en-US"/>
        </w:rPr>
        <w:t>će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biti finansirane, način finansiranja i nosioci Programa. </w:t>
      </w:r>
    </w:p>
    <w:p w14:paraId="6DE832A1" w14:textId="77777777" w:rsidR="00737C11" w:rsidRPr="00737C11" w:rsidRDefault="00737C11" w:rsidP="00737C11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6" w:name="str_3"/>
      <w:bookmarkEnd w:id="6"/>
      <w:r w:rsidRPr="00737C11">
        <w:rPr>
          <w:rFonts w:ascii="Arial" w:eastAsia="Times New Roman" w:hAnsi="Arial" w:cs="Arial"/>
          <w:sz w:val="31"/>
          <w:szCs w:val="31"/>
          <w:lang w:val="en-US"/>
        </w:rPr>
        <w:t xml:space="preserve">II CILJEVI PROGRAMA </w:t>
      </w:r>
    </w:p>
    <w:p w14:paraId="7FEB2FDD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737C11">
        <w:rPr>
          <w:rFonts w:ascii="Arial" w:eastAsia="Times New Roman" w:hAnsi="Arial" w:cs="Arial"/>
          <w:lang w:val="en-US"/>
        </w:rPr>
        <w:t>Osnovni cilj Programa je finansijska podrška merama i mehanizmima unapređenja energetske efikasnosti predviđenih Zakonom i strateškim dokumentima iz oblasti energetike.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</w:t>
      </w:r>
    </w:p>
    <w:p w14:paraId="7C982858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Programom treba da budu postignuti sledeći posebni ciljevi: </w:t>
      </w:r>
    </w:p>
    <w:p w14:paraId="7450A9EF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737C11">
        <w:rPr>
          <w:rFonts w:ascii="Arial" w:eastAsia="Times New Roman" w:hAnsi="Arial" w:cs="Arial"/>
          <w:lang w:val="en-US"/>
        </w:rPr>
        <w:t>ostvarivanje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uštede energije i njeno racionalno korišćenje primenom proverenih savremenih tehnologija i proizvoda čije je korišćenje ekonomski opravdano; </w:t>
      </w:r>
    </w:p>
    <w:p w14:paraId="55941A4D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737C11">
        <w:rPr>
          <w:rFonts w:ascii="Arial" w:eastAsia="Times New Roman" w:hAnsi="Arial" w:cs="Arial"/>
          <w:lang w:val="en-US"/>
        </w:rPr>
        <w:t>korišćenje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obnovljivih izvora energije za sopstvene potrebe; </w:t>
      </w:r>
    </w:p>
    <w:p w14:paraId="2DC1EC24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737C11">
        <w:rPr>
          <w:rFonts w:ascii="Arial" w:eastAsia="Times New Roman" w:hAnsi="Arial" w:cs="Arial"/>
          <w:lang w:val="en-US"/>
        </w:rPr>
        <w:t>uposlenost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privrednih subjekata; </w:t>
      </w:r>
    </w:p>
    <w:p w14:paraId="038CF7B3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737C11">
        <w:rPr>
          <w:rFonts w:ascii="Arial" w:eastAsia="Times New Roman" w:hAnsi="Arial" w:cs="Arial"/>
          <w:lang w:val="en-US"/>
        </w:rPr>
        <w:t>zaštita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životne sredine kroz smanjene emisije gasova koji stvaraju efekat staklene bašte (GHG gasovi); </w:t>
      </w:r>
    </w:p>
    <w:p w14:paraId="5207409A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5) </w:t>
      </w:r>
      <w:proofErr w:type="gramStart"/>
      <w:r w:rsidRPr="00737C11">
        <w:rPr>
          <w:rFonts w:ascii="Arial" w:eastAsia="Times New Roman" w:hAnsi="Arial" w:cs="Arial"/>
          <w:lang w:val="en-US"/>
        </w:rPr>
        <w:t>povećanje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javne svesti o značaju energetske efikasnosti. </w:t>
      </w:r>
    </w:p>
    <w:p w14:paraId="7B464515" w14:textId="77777777" w:rsidR="00737C11" w:rsidRPr="00737C11" w:rsidRDefault="00737C11" w:rsidP="00737C11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7" w:name="str_4"/>
      <w:bookmarkEnd w:id="7"/>
      <w:r w:rsidRPr="00737C11">
        <w:rPr>
          <w:rFonts w:ascii="Arial" w:eastAsia="Times New Roman" w:hAnsi="Arial" w:cs="Arial"/>
          <w:sz w:val="31"/>
          <w:szCs w:val="31"/>
          <w:lang w:val="en-US"/>
        </w:rPr>
        <w:t xml:space="preserve">III NOSIOCI PROGRAMA </w:t>
      </w:r>
    </w:p>
    <w:p w14:paraId="51D54178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Nosioci Programa su: </w:t>
      </w:r>
    </w:p>
    <w:p w14:paraId="7D3D88C2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1) Republika Srbija; </w:t>
      </w:r>
    </w:p>
    <w:p w14:paraId="3CB47775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737C11">
        <w:rPr>
          <w:rFonts w:ascii="Arial" w:eastAsia="Times New Roman" w:hAnsi="Arial" w:cs="Arial"/>
          <w:lang w:val="en-US"/>
        </w:rPr>
        <w:t>jedinice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lokalne samouprave i gradske opštine (u daljem tekstu: JLS), privredna društva, odnosno druga pravna lica čiji je osnivač JLS, autonomna pokrajina, odnosno Republika Srbija. </w:t>
      </w:r>
    </w:p>
    <w:p w14:paraId="72579C71" w14:textId="77777777" w:rsidR="00737C11" w:rsidRPr="00737C11" w:rsidRDefault="00737C11" w:rsidP="00737C11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8" w:name="str_5"/>
      <w:bookmarkEnd w:id="8"/>
      <w:r w:rsidRPr="00737C11">
        <w:rPr>
          <w:rFonts w:ascii="Arial" w:eastAsia="Times New Roman" w:hAnsi="Arial" w:cs="Arial"/>
          <w:sz w:val="31"/>
          <w:szCs w:val="31"/>
          <w:lang w:val="en-US"/>
        </w:rPr>
        <w:lastRenderedPageBreak/>
        <w:t xml:space="preserve">IV FINANSIRANJE MERA UNAPREĐENJA ENERGETSKE EFIKASNOSTI SREDSTVIMA UPRAVE </w:t>
      </w:r>
    </w:p>
    <w:p w14:paraId="26198C32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Mere unapređenja energetske efikasnosti koje se finansiraju </w:t>
      </w:r>
      <w:proofErr w:type="gramStart"/>
      <w:r w:rsidRPr="00737C11">
        <w:rPr>
          <w:rFonts w:ascii="Arial" w:eastAsia="Times New Roman" w:hAnsi="Arial" w:cs="Arial"/>
          <w:lang w:val="en-US"/>
        </w:rPr>
        <w:t>ili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sufinansiraju u skladu sa Programom su sledeće: </w:t>
      </w:r>
    </w:p>
    <w:p w14:paraId="3D24186E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737C11">
        <w:rPr>
          <w:rFonts w:ascii="Arial" w:eastAsia="Times New Roman" w:hAnsi="Arial" w:cs="Arial"/>
          <w:lang w:val="en-US"/>
        </w:rPr>
        <w:t>unapređenje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termičkog omotača zgrade, odnosno svih elemenata zgrade koji razdvajaju unutrašnji grejani prostor od spoljašnjeg prostora i negrejanog prostora zgrade putem: </w:t>
      </w:r>
    </w:p>
    <w:p w14:paraId="2CCA0BA1" w14:textId="77777777" w:rsidR="00737C11" w:rsidRPr="00737C11" w:rsidRDefault="00737C11" w:rsidP="00737C1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(1) zamene spoljnih prozora i vrata i drugih transparentnih elemenata termičkog omotača (mera obuhvata i prateću opremu za prozore/vrata, kao što su okapnice, prozorske daske, roletne, kapci i dr, kao i prateće građevinske radove na demontaži i pravilnoj montaži prozora/vrata, kao što je demontaža starih prozora/vrata i odvoz na deponiju, pravilna montaža prozora, obrada oko prozora gips-karton pločama, gletovanje, obrada ivica i krečenje oko prozora/vrata sa unutrašnje strane zida i dr.), </w:t>
      </w:r>
    </w:p>
    <w:p w14:paraId="5E2CE6E5" w14:textId="77777777" w:rsidR="00737C11" w:rsidRPr="00737C11" w:rsidRDefault="00737C11" w:rsidP="00737C1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(2) </w:t>
      </w:r>
      <w:proofErr w:type="gramStart"/>
      <w:r w:rsidRPr="00737C11">
        <w:rPr>
          <w:rFonts w:ascii="Arial" w:eastAsia="Times New Roman" w:hAnsi="Arial" w:cs="Arial"/>
          <w:lang w:val="en-US"/>
        </w:rPr>
        <w:t>postavljanja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termičke izolacije zidova, krova, tavanica iznad otvorenih prolaza, zidova, podova na tlu i ostalih delova termičkog omotača prema negrejanom prostoru; </w:t>
      </w:r>
    </w:p>
    <w:p w14:paraId="7BA2BD00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737C11">
        <w:rPr>
          <w:rFonts w:ascii="Arial" w:eastAsia="Times New Roman" w:hAnsi="Arial" w:cs="Arial"/>
          <w:lang w:val="en-US"/>
        </w:rPr>
        <w:t>unapređenje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termotehničkih sistema u zgrade putem zamene sistema ili dela sistema efikasnijim sistemom putem: </w:t>
      </w:r>
    </w:p>
    <w:p w14:paraId="2D3992BA" w14:textId="77777777" w:rsidR="00737C11" w:rsidRPr="00737C11" w:rsidRDefault="00737C11" w:rsidP="00737C1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(1) </w:t>
      </w:r>
      <w:proofErr w:type="gramStart"/>
      <w:r w:rsidRPr="00737C11">
        <w:rPr>
          <w:rFonts w:ascii="Arial" w:eastAsia="Times New Roman" w:hAnsi="Arial" w:cs="Arial"/>
          <w:lang w:val="en-US"/>
        </w:rPr>
        <w:t>zamene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postojećeg kotla efikasnijim kotlom (grejač prostora ili kombinovani grejač), </w:t>
      </w:r>
    </w:p>
    <w:p w14:paraId="14BEA870" w14:textId="77777777" w:rsidR="00737C11" w:rsidRPr="00737C11" w:rsidRDefault="00737C11" w:rsidP="00737C1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(2) </w:t>
      </w:r>
      <w:proofErr w:type="gramStart"/>
      <w:r w:rsidRPr="00737C11">
        <w:rPr>
          <w:rFonts w:ascii="Arial" w:eastAsia="Times New Roman" w:hAnsi="Arial" w:cs="Arial"/>
          <w:lang w:val="en-US"/>
        </w:rPr>
        <w:t>zamene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postojeće ili ugradnja nove cevne mreže, grejnih tela i pratećeg pribora, </w:t>
      </w:r>
    </w:p>
    <w:p w14:paraId="7150935F" w14:textId="77777777" w:rsidR="00737C11" w:rsidRPr="00737C11" w:rsidRDefault="00737C11" w:rsidP="00737C1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(3) </w:t>
      </w:r>
      <w:proofErr w:type="gramStart"/>
      <w:r w:rsidRPr="00737C11">
        <w:rPr>
          <w:rFonts w:ascii="Arial" w:eastAsia="Times New Roman" w:hAnsi="Arial" w:cs="Arial"/>
          <w:lang w:val="en-US"/>
        </w:rPr>
        <w:t>ugradnje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elektronski regulisanih cirkulacionih pumpi, </w:t>
      </w:r>
    </w:p>
    <w:p w14:paraId="3B3296AD" w14:textId="77777777" w:rsidR="00737C11" w:rsidRPr="00737C11" w:rsidRDefault="00737C11" w:rsidP="00737C1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(4) </w:t>
      </w:r>
      <w:proofErr w:type="gramStart"/>
      <w:r w:rsidRPr="00737C11">
        <w:rPr>
          <w:rFonts w:ascii="Arial" w:eastAsia="Times New Roman" w:hAnsi="Arial" w:cs="Arial"/>
          <w:lang w:val="en-US"/>
        </w:rPr>
        <w:t>ugradnje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termostatskih ventila na svim grejnim telima, </w:t>
      </w:r>
    </w:p>
    <w:p w14:paraId="1ECB4BBB" w14:textId="77777777" w:rsidR="00737C11" w:rsidRPr="00737C11" w:rsidRDefault="00737C11" w:rsidP="00737C1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(5) </w:t>
      </w:r>
      <w:proofErr w:type="gramStart"/>
      <w:r w:rsidRPr="00737C11">
        <w:rPr>
          <w:rFonts w:ascii="Arial" w:eastAsia="Times New Roman" w:hAnsi="Arial" w:cs="Arial"/>
          <w:lang w:val="en-US"/>
        </w:rPr>
        <w:t>ugradnje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uređaja za merenje predate količine toplote svim pojedinačnim potrošačima, </w:t>
      </w:r>
    </w:p>
    <w:p w14:paraId="78251973" w14:textId="77777777" w:rsidR="00737C11" w:rsidRPr="00737C11" w:rsidRDefault="00737C11" w:rsidP="00737C1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(6) </w:t>
      </w:r>
      <w:proofErr w:type="gramStart"/>
      <w:r w:rsidRPr="00737C11">
        <w:rPr>
          <w:rFonts w:ascii="Arial" w:eastAsia="Times New Roman" w:hAnsi="Arial" w:cs="Arial"/>
          <w:lang w:val="en-US"/>
        </w:rPr>
        <w:t>ugradnje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toplotnih pumpi (grejač prostora ili kombinovani grejač), </w:t>
      </w:r>
    </w:p>
    <w:p w14:paraId="424E4CC9" w14:textId="77777777" w:rsidR="00737C11" w:rsidRPr="00737C11" w:rsidRDefault="00737C11" w:rsidP="00737C1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(7) </w:t>
      </w:r>
      <w:proofErr w:type="gramStart"/>
      <w:r w:rsidRPr="00737C11">
        <w:rPr>
          <w:rFonts w:ascii="Arial" w:eastAsia="Times New Roman" w:hAnsi="Arial" w:cs="Arial"/>
          <w:lang w:val="en-US"/>
        </w:rPr>
        <w:t>ugradnje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opreme za daljinsku kontrolu i automatsku regulaciju rada termotehničkih sistema, </w:t>
      </w:r>
    </w:p>
    <w:p w14:paraId="50E4862C" w14:textId="77777777" w:rsidR="00737C11" w:rsidRPr="00737C11" w:rsidRDefault="00737C11" w:rsidP="00737C1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(8) </w:t>
      </w:r>
      <w:proofErr w:type="gramStart"/>
      <w:r w:rsidRPr="00737C11">
        <w:rPr>
          <w:rFonts w:ascii="Arial" w:eastAsia="Times New Roman" w:hAnsi="Arial" w:cs="Arial"/>
          <w:lang w:val="en-US"/>
        </w:rPr>
        <w:t>zamene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postojećih i ugradnjom novih efikasnih sistema za klimatizaciju, </w:t>
      </w:r>
    </w:p>
    <w:p w14:paraId="69FC26F0" w14:textId="77777777" w:rsidR="00737C11" w:rsidRPr="00737C11" w:rsidRDefault="00737C11" w:rsidP="00737C1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(9) </w:t>
      </w:r>
      <w:proofErr w:type="gramStart"/>
      <w:r w:rsidRPr="00737C11">
        <w:rPr>
          <w:rFonts w:ascii="Arial" w:eastAsia="Times New Roman" w:hAnsi="Arial" w:cs="Arial"/>
          <w:lang w:val="en-US"/>
        </w:rPr>
        <w:t>zamene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postojećih ili ugradnjom novih sistema za ventilaciju sa rekuperacijom toplote, </w:t>
      </w:r>
    </w:p>
    <w:p w14:paraId="096EC70B" w14:textId="77777777" w:rsidR="00737C11" w:rsidRPr="00737C11" w:rsidRDefault="00737C11" w:rsidP="00737C1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(10) </w:t>
      </w:r>
      <w:proofErr w:type="gramStart"/>
      <w:r w:rsidRPr="00737C11">
        <w:rPr>
          <w:rFonts w:ascii="Arial" w:eastAsia="Times New Roman" w:hAnsi="Arial" w:cs="Arial"/>
          <w:lang w:val="en-US"/>
        </w:rPr>
        <w:t>zamene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postojećih ili ugradnjom novih sistema za centralnu pripremu potrošne tople vode; </w:t>
      </w:r>
    </w:p>
    <w:p w14:paraId="79D69C27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737C11">
        <w:rPr>
          <w:rFonts w:ascii="Arial" w:eastAsia="Times New Roman" w:hAnsi="Arial" w:cs="Arial"/>
          <w:lang w:val="en-US"/>
        </w:rPr>
        <w:t>modernizacija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sistema unutrašnjeg osvetljenja u objektima putem: </w:t>
      </w:r>
    </w:p>
    <w:p w14:paraId="393175FC" w14:textId="77777777" w:rsidR="00737C11" w:rsidRPr="00737C11" w:rsidRDefault="00737C11" w:rsidP="00737C1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lastRenderedPageBreak/>
        <w:t xml:space="preserve">(1) </w:t>
      </w:r>
      <w:proofErr w:type="gramStart"/>
      <w:r w:rsidRPr="00737C11">
        <w:rPr>
          <w:rFonts w:ascii="Arial" w:eastAsia="Times New Roman" w:hAnsi="Arial" w:cs="Arial"/>
          <w:lang w:val="en-US"/>
        </w:rPr>
        <w:t>zamene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izvora svetlosti, odnosno svetiljki, </w:t>
      </w:r>
    </w:p>
    <w:p w14:paraId="39881B17" w14:textId="77777777" w:rsidR="00737C11" w:rsidRPr="00737C11" w:rsidRDefault="00737C11" w:rsidP="00737C1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(2) </w:t>
      </w:r>
      <w:proofErr w:type="gramStart"/>
      <w:r w:rsidRPr="00737C11">
        <w:rPr>
          <w:rFonts w:ascii="Arial" w:eastAsia="Times New Roman" w:hAnsi="Arial" w:cs="Arial"/>
          <w:lang w:val="en-US"/>
        </w:rPr>
        <w:t>instaliranja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savremene opreme za kontrolu i upravljanje sistemom unutrašnjeg osvetljenja (daljinska kontrola, regulatori osvetljenja i dr.); </w:t>
      </w:r>
    </w:p>
    <w:p w14:paraId="35841354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737C11">
        <w:rPr>
          <w:rFonts w:ascii="Arial" w:eastAsia="Times New Roman" w:hAnsi="Arial" w:cs="Arial"/>
          <w:lang w:val="en-US"/>
        </w:rPr>
        <w:t>ugradnja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solarnih kolektora u instalaciju za centralnu pripremu potrošne tople vode; </w:t>
      </w:r>
    </w:p>
    <w:p w14:paraId="26E64C6B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5) </w:t>
      </w:r>
      <w:proofErr w:type="gramStart"/>
      <w:r w:rsidRPr="00737C11">
        <w:rPr>
          <w:rFonts w:ascii="Arial" w:eastAsia="Times New Roman" w:hAnsi="Arial" w:cs="Arial"/>
          <w:lang w:val="en-US"/>
        </w:rPr>
        <w:t>modernizacija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sistema javnog osvetljenja u JLS putem: </w:t>
      </w:r>
    </w:p>
    <w:p w14:paraId="6C0E629C" w14:textId="77777777" w:rsidR="00737C11" w:rsidRPr="00737C11" w:rsidRDefault="00737C11" w:rsidP="00737C1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(1) </w:t>
      </w:r>
      <w:proofErr w:type="gramStart"/>
      <w:r w:rsidRPr="00737C11">
        <w:rPr>
          <w:rFonts w:ascii="Arial" w:eastAsia="Times New Roman" w:hAnsi="Arial" w:cs="Arial"/>
          <w:lang w:val="en-US"/>
        </w:rPr>
        <w:t>zamene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izvora svetlosti, odnosno svetiljki, </w:t>
      </w:r>
    </w:p>
    <w:p w14:paraId="7EE9EE48" w14:textId="77777777" w:rsidR="00737C11" w:rsidRPr="00737C11" w:rsidRDefault="00737C11" w:rsidP="00737C1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(2) </w:t>
      </w:r>
      <w:proofErr w:type="gramStart"/>
      <w:r w:rsidRPr="00737C11">
        <w:rPr>
          <w:rFonts w:ascii="Arial" w:eastAsia="Times New Roman" w:hAnsi="Arial" w:cs="Arial"/>
          <w:lang w:val="en-US"/>
        </w:rPr>
        <w:t>ugradnje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savremene opreme za kontrolu i upravljanje sistemom osvetljenja (daljinska kontrola, regulatori intenziteta osvetljenja i dr.); </w:t>
      </w:r>
    </w:p>
    <w:p w14:paraId="6F674AD9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6) </w:t>
      </w:r>
      <w:proofErr w:type="gramStart"/>
      <w:r w:rsidRPr="00737C11">
        <w:rPr>
          <w:rFonts w:ascii="Arial" w:eastAsia="Times New Roman" w:hAnsi="Arial" w:cs="Arial"/>
          <w:lang w:val="en-US"/>
        </w:rPr>
        <w:t>rehabilitacija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daljinskog sistema za proizvodnju i distribuciju toplotne energije u cilju unapređenja energetske efikasnosti tih sistema; </w:t>
      </w:r>
    </w:p>
    <w:p w14:paraId="68AF4910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7) </w:t>
      </w:r>
      <w:proofErr w:type="gramStart"/>
      <w:r w:rsidRPr="00737C11">
        <w:rPr>
          <w:rFonts w:ascii="Arial" w:eastAsia="Times New Roman" w:hAnsi="Arial" w:cs="Arial"/>
          <w:lang w:val="en-US"/>
        </w:rPr>
        <w:t>ugradnja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solarnih panela i prateće instalacije za proizvodnju električne energije za sopstvene potrebe, ugradnja dvosmernog mernog uređaja za merenje predate i primljene električne energije i izrada neophodne tehničke dokumentacije i izveštaja izvođača radova na ugradnji solarnih panela i prateće instalacije za proizvodnju električne energije koji su u skladu sa zakonom neophodni prilikom priključenja na distributivni sistem; </w:t>
      </w:r>
    </w:p>
    <w:p w14:paraId="2792C9C0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9) </w:t>
      </w:r>
      <w:proofErr w:type="gramStart"/>
      <w:r w:rsidRPr="00737C11">
        <w:rPr>
          <w:rFonts w:ascii="Arial" w:eastAsia="Times New Roman" w:hAnsi="Arial" w:cs="Arial"/>
          <w:lang w:val="en-US"/>
        </w:rPr>
        <w:t>obuka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zaposlenih u zgradama koje su predmet projekata finansiranih sredstvima podsticaja za unapređenje energetske efikasnosti iz efikasnog korišćenja energije; </w:t>
      </w:r>
    </w:p>
    <w:p w14:paraId="4552838C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10) </w:t>
      </w:r>
      <w:proofErr w:type="gramStart"/>
      <w:r w:rsidRPr="00737C11">
        <w:rPr>
          <w:rFonts w:ascii="Arial" w:eastAsia="Times New Roman" w:hAnsi="Arial" w:cs="Arial"/>
          <w:lang w:val="en-US"/>
        </w:rPr>
        <w:t>druge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mere za unapređenje energetske efikasnosti. </w:t>
      </w:r>
    </w:p>
    <w:p w14:paraId="098D5F90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737C11">
        <w:rPr>
          <w:rFonts w:ascii="Arial" w:eastAsia="Times New Roman" w:hAnsi="Arial" w:cs="Arial"/>
          <w:lang w:val="en-US"/>
        </w:rPr>
        <w:t>Mere iz stava 1.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737C11">
        <w:rPr>
          <w:rFonts w:ascii="Arial" w:eastAsia="Times New Roman" w:hAnsi="Arial" w:cs="Arial"/>
          <w:lang w:val="en-US"/>
        </w:rPr>
        <w:t>ove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glave se mogu finansirati i donacijama ukoliko iste budu obezbeđene. </w:t>
      </w:r>
    </w:p>
    <w:p w14:paraId="0F97D8A7" w14:textId="77777777" w:rsidR="00737C11" w:rsidRPr="00737C11" w:rsidRDefault="00737C11" w:rsidP="00737C11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9" w:name="str_6"/>
      <w:bookmarkEnd w:id="9"/>
      <w:r w:rsidRPr="00737C11">
        <w:rPr>
          <w:rFonts w:ascii="Arial" w:eastAsia="Times New Roman" w:hAnsi="Arial" w:cs="Arial"/>
          <w:sz w:val="31"/>
          <w:szCs w:val="31"/>
          <w:lang w:val="en-US"/>
        </w:rPr>
        <w:t xml:space="preserve">V NAČIN FINANSIRANJA </w:t>
      </w:r>
    </w:p>
    <w:p w14:paraId="4F5F4121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Za realizaciju Programa i preuzetih obaveza </w:t>
      </w:r>
      <w:proofErr w:type="gramStart"/>
      <w:r w:rsidRPr="00737C11">
        <w:rPr>
          <w:rFonts w:ascii="Arial" w:eastAsia="Times New Roman" w:hAnsi="Arial" w:cs="Arial"/>
          <w:lang w:val="en-US"/>
        </w:rPr>
        <w:t>na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osnovu Uredbe o utvrđivanju Programa finansiranja aktivnosti i mera unapređenja efikasnog korišćenja energije u 2021. </w:t>
      </w:r>
      <w:proofErr w:type="gramStart"/>
      <w:r w:rsidRPr="00737C11">
        <w:rPr>
          <w:rFonts w:ascii="Arial" w:eastAsia="Times New Roman" w:hAnsi="Arial" w:cs="Arial"/>
          <w:lang w:val="en-US"/>
        </w:rPr>
        <w:t>godini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("Službeni glasnik RS", br. 9/21 i 32/21) koriste se sredstva Uprave koja su obezbeđena na osnovu Zakona o budžetu Republike Srbije za 2022. </w:t>
      </w:r>
      <w:proofErr w:type="gramStart"/>
      <w:r w:rsidRPr="00737C11">
        <w:rPr>
          <w:rFonts w:ascii="Arial" w:eastAsia="Times New Roman" w:hAnsi="Arial" w:cs="Arial"/>
          <w:lang w:val="en-US"/>
        </w:rPr>
        <w:t>godinu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("Službeni glasnik RS", broj 110/21), u iznosu od 1.983.049.000,00 dinara, na Razdelu 28 - Ministarstvo rudarstva i energetike, Glava 28.2 - Uprava za finansiranje i podsticanje energetske efikasnosti, Program 0502 - Energetska efikasnost, Funkcija 430 - Gorivo i energija, Programska aktivnost 0002 - Mere za unapređenje energetske efikasnosti, na aproprijaciji ekonomskoj klasifikaciji 463 - Transferi ostalim nivoima vlasti. </w:t>
      </w:r>
      <w:proofErr w:type="gramStart"/>
      <w:r w:rsidRPr="00737C11">
        <w:rPr>
          <w:rFonts w:ascii="Arial" w:eastAsia="Times New Roman" w:hAnsi="Arial" w:cs="Arial"/>
          <w:lang w:val="en-US"/>
        </w:rPr>
        <w:t>Sredstva za finansiranje projekata unapređenja energetske efikasnosti mogu se opredeliti kao bespovratna sredstva.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</w:t>
      </w:r>
    </w:p>
    <w:p w14:paraId="14526D40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U skladu </w:t>
      </w:r>
      <w:proofErr w:type="gramStart"/>
      <w:r w:rsidRPr="00737C11">
        <w:rPr>
          <w:rFonts w:ascii="Arial" w:eastAsia="Times New Roman" w:hAnsi="Arial" w:cs="Arial"/>
          <w:lang w:val="en-US"/>
        </w:rPr>
        <w:t>sa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stavom 1. </w:t>
      </w:r>
      <w:proofErr w:type="gramStart"/>
      <w:r w:rsidRPr="00737C11">
        <w:rPr>
          <w:rFonts w:ascii="Arial" w:eastAsia="Times New Roman" w:hAnsi="Arial" w:cs="Arial"/>
          <w:lang w:val="en-US"/>
        </w:rPr>
        <w:t>ove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glave, sredstva će u ovoj godini biti opredeljena za finansiranje projekata unapređenja EE javnih objekata u JLS i finansiranje programa energetske sanacije porodičnih kuća i stanova koje sprovode JLS. </w:t>
      </w:r>
    </w:p>
    <w:p w14:paraId="3935F70F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Finansiranje projekata vrši se u skladu </w:t>
      </w:r>
      <w:proofErr w:type="gramStart"/>
      <w:r w:rsidRPr="00737C11">
        <w:rPr>
          <w:rFonts w:ascii="Arial" w:eastAsia="Times New Roman" w:hAnsi="Arial" w:cs="Arial"/>
          <w:lang w:val="en-US"/>
        </w:rPr>
        <w:t>sa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propisom iz člana 75. </w:t>
      </w:r>
      <w:proofErr w:type="gramStart"/>
      <w:r w:rsidRPr="00737C11">
        <w:rPr>
          <w:rFonts w:ascii="Arial" w:eastAsia="Times New Roman" w:hAnsi="Arial" w:cs="Arial"/>
          <w:lang w:val="en-US"/>
        </w:rPr>
        <w:t>stav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5. </w:t>
      </w:r>
      <w:proofErr w:type="gramStart"/>
      <w:r w:rsidRPr="00737C11">
        <w:rPr>
          <w:rFonts w:ascii="Arial" w:eastAsia="Times New Roman" w:hAnsi="Arial" w:cs="Arial"/>
          <w:lang w:val="en-US"/>
        </w:rPr>
        <w:t>Zakona o energetskoj efikasnosti i racionalnoj upotrebi energije ("Službeni glasnik RS", broj 40/21) kojim se uređuju bliži uslovi za raspodelu i korišćenje sredstava, način raspodele tih sredstava, kao i način praćenja namenskog korišćenja sredstava i ugovorenih prava i obaveza.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</w:t>
      </w:r>
    </w:p>
    <w:p w14:paraId="6653C6E0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lastRenderedPageBreak/>
        <w:t xml:space="preserve">U skladu </w:t>
      </w:r>
      <w:proofErr w:type="gramStart"/>
      <w:r w:rsidRPr="00737C11">
        <w:rPr>
          <w:rFonts w:ascii="Arial" w:eastAsia="Times New Roman" w:hAnsi="Arial" w:cs="Arial"/>
          <w:lang w:val="en-US"/>
        </w:rPr>
        <w:t>sa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propisom iz stava 3. </w:t>
      </w:r>
      <w:proofErr w:type="gramStart"/>
      <w:r w:rsidRPr="00737C11">
        <w:rPr>
          <w:rFonts w:ascii="Arial" w:eastAsia="Times New Roman" w:hAnsi="Arial" w:cs="Arial"/>
          <w:lang w:val="en-US"/>
        </w:rPr>
        <w:t>ove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glave osnov za finansiranje projekata unapređenja energetske efikasnosti javnih objekata u JLS je doneto rešenje o finansiranju projekata sa utvrđene liste projekata prijavljenih na javni poziv i ugovori o finansiranju zaključeni sa Upravom. </w:t>
      </w:r>
      <w:proofErr w:type="gramStart"/>
      <w:r w:rsidRPr="00737C11">
        <w:rPr>
          <w:rFonts w:ascii="Arial" w:eastAsia="Times New Roman" w:hAnsi="Arial" w:cs="Arial"/>
          <w:lang w:val="en-US"/>
        </w:rPr>
        <w:t>U finansiranju projekata učestvuje i JLS.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</w:t>
      </w:r>
    </w:p>
    <w:p w14:paraId="370163B4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JLS kojima je odobreno finansiranje projekata unapređenja energetske efikasnosti, sprovode javne nabavke radova </w:t>
      </w:r>
      <w:proofErr w:type="gramStart"/>
      <w:r w:rsidRPr="00737C11">
        <w:rPr>
          <w:rFonts w:ascii="Arial" w:eastAsia="Times New Roman" w:hAnsi="Arial" w:cs="Arial"/>
          <w:lang w:val="en-US"/>
        </w:rPr>
        <w:t>na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osnovu konkursne dokumentacije odobrene od strane Uprave. Zahtev za transfer sredstava JLS podnosi Upravi, u skladu </w:t>
      </w:r>
      <w:proofErr w:type="gramStart"/>
      <w:r w:rsidRPr="00737C11">
        <w:rPr>
          <w:rFonts w:ascii="Arial" w:eastAsia="Times New Roman" w:hAnsi="Arial" w:cs="Arial"/>
          <w:lang w:val="en-US"/>
        </w:rPr>
        <w:t>sa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ugovorom o finansiranju, na osnovu privremenih situacija i/ili okončane situacije za radove na javnom objektu i prateće tehničke dokumentacije Sredstva se zatim uplaćuju izvođaču radova i JLS dostavlja dokaz Upravi o uplati. </w:t>
      </w:r>
    </w:p>
    <w:p w14:paraId="4B5AD28C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Osnov za finansiranje programa energetske sanacije stambenih zgrada, porodičnih kuća i stanova u JLS je doneto rešenje o finansiranju programa </w:t>
      </w:r>
      <w:proofErr w:type="gramStart"/>
      <w:r w:rsidRPr="00737C11">
        <w:rPr>
          <w:rFonts w:ascii="Arial" w:eastAsia="Times New Roman" w:hAnsi="Arial" w:cs="Arial"/>
          <w:lang w:val="en-US"/>
        </w:rPr>
        <w:t>sa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utvrđene liste programa prijavljenih na javni poziv i ugovori o finansiranju zaključeni sa Upravom. </w:t>
      </w:r>
      <w:proofErr w:type="gramStart"/>
      <w:r w:rsidRPr="00737C11">
        <w:rPr>
          <w:rFonts w:ascii="Arial" w:eastAsia="Times New Roman" w:hAnsi="Arial" w:cs="Arial"/>
          <w:lang w:val="en-US"/>
        </w:rPr>
        <w:t>Pored Uprave u finansiranju programa učestvuju JLS i građani.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</w:t>
      </w:r>
    </w:p>
    <w:p w14:paraId="764C1CBF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737C11">
        <w:rPr>
          <w:rFonts w:ascii="Arial" w:eastAsia="Times New Roman" w:hAnsi="Arial" w:cs="Arial"/>
          <w:lang w:val="en-US"/>
        </w:rPr>
        <w:t>JLS kojima je odobreno finansiranje programa energetske sanacije obrazuju komisiju za realizaciju mera energetske sanacije.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Uprava </w:t>
      </w:r>
      <w:proofErr w:type="gramStart"/>
      <w:r w:rsidRPr="00737C11">
        <w:rPr>
          <w:rFonts w:ascii="Arial" w:eastAsia="Times New Roman" w:hAnsi="Arial" w:cs="Arial"/>
          <w:lang w:val="en-US"/>
        </w:rPr>
        <w:t>će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imenovati svog predstavnika u sastav komisije. </w:t>
      </w:r>
    </w:p>
    <w:p w14:paraId="60F7CE0F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737C11">
        <w:rPr>
          <w:rFonts w:ascii="Arial" w:eastAsia="Times New Roman" w:hAnsi="Arial" w:cs="Arial"/>
          <w:lang w:val="en-US"/>
        </w:rPr>
        <w:t xml:space="preserve">Sprovode se dva javna poziva koja </w:t>
      </w:r>
      <w:proofErr w:type="gramStart"/>
      <w:r w:rsidRPr="00737C11">
        <w:rPr>
          <w:rFonts w:ascii="Arial" w:eastAsia="Times New Roman" w:hAnsi="Arial" w:cs="Arial"/>
          <w:lang w:val="en-US"/>
        </w:rPr>
        <w:t>će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biti objavljena zajednički od strane Uprave i JLS. Prvi javni poziv se raspisuje za izbor privrednih subjekata koji se bave energetskom sanacijom, a zatim se formira lista izabranih privrednih subjekata koji </w:t>
      </w:r>
      <w:proofErr w:type="gramStart"/>
      <w:r w:rsidRPr="00737C11">
        <w:rPr>
          <w:rFonts w:ascii="Arial" w:eastAsia="Times New Roman" w:hAnsi="Arial" w:cs="Arial"/>
          <w:lang w:val="en-US"/>
        </w:rPr>
        <w:t>će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izvoditi radove na energetskoj sanaciji. Drugi javni poziv se raspisuje za građane, Građani </w:t>
      </w:r>
      <w:proofErr w:type="gramStart"/>
      <w:r w:rsidRPr="00737C11">
        <w:rPr>
          <w:rFonts w:ascii="Arial" w:eastAsia="Times New Roman" w:hAnsi="Arial" w:cs="Arial"/>
          <w:lang w:val="en-US"/>
        </w:rPr>
        <w:t>će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se obraćati izabranim privrednim subjektima za stručnu pomoć oko radova i od kojih će dobijati predračune za radove, a koje će zatim prilagati uz prijavu na javni poziv. Isplatu subvencija za građane, JLS direktno vrši privrednim subjektima koji vrše radove </w:t>
      </w:r>
      <w:proofErr w:type="gramStart"/>
      <w:r w:rsidRPr="00737C11">
        <w:rPr>
          <w:rFonts w:ascii="Arial" w:eastAsia="Times New Roman" w:hAnsi="Arial" w:cs="Arial"/>
          <w:lang w:val="en-US"/>
        </w:rPr>
        <w:t>na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energetskoj sanaciji, ali tek nakon kompletne uplate od strane građana. Zahtev za transfer sredstava JLS podnose Upravi, u skladu </w:t>
      </w:r>
      <w:proofErr w:type="gramStart"/>
      <w:r w:rsidRPr="00737C11">
        <w:rPr>
          <w:rFonts w:ascii="Arial" w:eastAsia="Times New Roman" w:hAnsi="Arial" w:cs="Arial"/>
          <w:lang w:val="en-US"/>
        </w:rPr>
        <w:t>sa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ugovorom o finansiranju, a na osnovu odluke o usvojenom aktu o načinu raspodele sredstava i potpisanih trojnih ugovora sa privrednim subjektima i građanima. </w:t>
      </w:r>
    </w:p>
    <w:p w14:paraId="1DA90D43" w14:textId="77777777" w:rsidR="00737C11" w:rsidRPr="00737C11" w:rsidRDefault="00737C11" w:rsidP="00737C1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737C11">
        <w:rPr>
          <w:rFonts w:ascii="Arial" w:eastAsia="Times New Roman" w:hAnsi="Arial" w:cs="Arial"/>
          <w:lang w:val="en-US"/>
        </w:rPr>
        <w:t>Od 2023.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godine finansiranje realizacije godišnjih programa finansiranja aktivnosti i mera unapređenja energetske efikasnosti vršiće se u skladu sa bilansnim mogućnostima budžeta Republike Srbije sa razdela Uprave, a obuhvatiće i mehanizme finansiranje energetske sanacije stambenih zgrada i dodelu sredstava podsticaja za kupovinu energetski efikasnih kućnih uređaja u domaćinstvima putem dodele vaučera i dotacija u skladu sa aktom iz člana 75. </w:t>
      </w:r>
      <w:proofErr w:type="gramStart"/>
      <w:r w:rsidRPr="00737C11">
        <w:rPr>
          <w:rFonts w:ascii="Arial" w:eastAsia="Times New Roman" w:hAnsi="Arial" w:cs="Arial"/>
          <w:lang w:val="en-US"/>
        </w:rPr>
        <w:t>stav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5. </w:t>
      </w:r>
      <w:proofErr w:type="gramStart"/>
      <w:r w:rsidRPr="00737C11">
        <w:rPr>
          <w:rFonts w:ascii="Arial" w:eastAsia="Times New Roman" w:hAnsi="Arial" w:cs="Arial"/>
          <w:lang w:val="en-US"/>
        </w:rPr>
        <w:t>Zakona o energetskoj efikasnosti i racionalnoj upotrebi energije.</w:t>
      </w:r>
      <w:proofErr w:type="gramEnd"/>
      <w:r w:rsidRPr="00737C11">
        <w:rPr>
          <w:rFonts w:ascii="Arial" w:eastAsia="Times New Roman" w:hAnsi="Arial" w:cs="Arial"/>
          <w:lang w:val="en-US"/>
        </w:rPr>
        <w:t xml:space="preserve"> </w:t>
      </w:r>
    </w:p>
    <w:p w14:paraId="6C4D3859" w14:textId="77777777" w:rsidR="00A826D5" w:rsidRDefault="00A826D5"/>
    <w:sectPr w:rsidR="00A826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11"/>
    <w:rsid w:val="000D50D0"/>
    <w:rsid w:val="001C6362"/>
    <w:rsid w:val="00737C11"/>
    <w:rsid w:val="00A70F32"/>
    <w:rsid w:val="00A826D5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B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737C11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37C11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customStyle="1" w:styleId="clan">
    <w:name w:val="clan"/>
    <w:basedOn w:val="Normal"/>
    <w:rsid w:val="00737C1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737C1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normaluvuceni3">
    <w:name w:val="normal_uvuceni3"/>
    <w:basedOn w:val="Normal"/>
    <w:rsid w:val="00737C11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737C11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prored">
    <w:name w:val="normalprored"/>
    <w:basedOn w:val="Normal"/>
    <w:rsid w:val="00737C11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50---odeljak">
    <w:name w:val="wyq050---odeljak"/>
    <w:basedOn w:val="Normal"/>
    <w:rsid w:val="00737C11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val="en-US"/>
    </w:rPr>
  </w:style>
  <w:style w:type="paragraph" w:customStyle="1" w:styleId="wyq060---pododeljak">
    <w:name w:val="wyq060---pododeljak"/>
    <w:basedOn w:val="Normal"/>
    <w:rsid w:val="00737C11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C636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636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636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636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737C11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37C11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customStyle="1" w:styleId="clan">
    <w:name w:val="clan"/>
    <w:basedOn w:val="Normal"/>
    <w:rsid w:val="00737C1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737C1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normaluvuceni3">
    <w:name w:val="normal_uvuceni3"/>
    <w:basedOn w:val="Normal"/>
    <w:rsid w:val="00737C11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737C11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prored">
    <w:name w:val="normalprored"/>
    <w:basedOn w:val="Normal"/>
    <w:rsid w:val="00737C11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50---odeljak">
    <w:name w:val="wyq050---odeljak"/>
    <w:basedOn w:val="Normal"/>
    <w:rsid w:val="00737C11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val="en-US"/>
    </w:rPr>
  </w:style>
  <w:style w:type="paragraph" w:customStyle="1" w:styleId="wyq060---pododeljak">
    <w:name w:val="wyq060---pododeljak"/>
    <w:basedOn w:val="Normal"/>
    <w:rsid w:val="00737C11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C636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636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636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636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2264</Words>
  <Characters>12911</Characters>
  <Application>Microsoft Office Word</Application>
  <DocSecurity>0</DocSecurity>
  <Lines>107</Lines>
  <Paragraphs>30</Paragraphs>
  <ScaleCrop>false</ScaleCrop>
  <Company/>
  <LinksUpToDate>false</LinksUpToDate>
  <CharactersWithSpaces>15145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</dc:creator>
  <cp:keywords/>
  <dc:description/>
  <cp:lastModifiedBy>CIS</cp:lastModifiedBy>
  <cp:revision>3</cp:revision>
  <dcterms:created xsi:type="dcterms:W3CDTF">2022-06-29T11:07:00Z</dcterms:created>
  <dcterms:modified xsi:type="dcterms:W3CDTF">2022-06-30T07:55:00Z</dcterms:modified>
</cp:coreProperties>
</file>