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30" w:rsidRPr="00B75930" w:rsidRDefault="00B75930" w:rsidP="00B75930">
      <w:pPr>
        <w:pStyle w:val="Heading1"/>
        <w:jc w:val="center"/>
        <w:rPr>
          <w:sz w:val="36"/>
          <w:szCs w:val="36"/>
        </w:rPr>
      </w:pPr>
      <w:bookmarkStart w:id="0" w:name="clan_1"/>
      <w:bookmarkEnd w:id="0"/>
      <w:r w:rsidRPr="00B75930">
        <w:rPr>
          <w:sz w:val="36"/>
          <w:szCs w:val="36"/>
        </w:rPr>
        <w:t>UREDBA</w:t>
      </w:r>
    </w:p>
    <w:p w:rsidR="00B75930" w:rsidRPr="00B75930" w:rsidRDefault="00B75930" w:rsidP="00B75930">
      <w:pPr>
        <w:pStyle w:val="Heading1"/>
        <w:jc w:val="center"/>
        <w:rPr>
          <w:rFonts w:eastAsia="Times New Roman"/>
          <w:color w:val="FFFFFF"/>
          <w:sz w:val="36"/>
          <w:szCs w:val="36"/>
          <w:lang w:eastAsia="sr-Latn-RS"/>
        </w:rPr>
      </w:pPr>
      <w:r w:rsidRPr="00B75930">
        <w:rPr>
          <w:sz w:val="36"/>
          <w:szCs w:val="36"/>
        </w:rPr>
        <w:t>O ENERGETSKOM OZNAČAVANJU PROIZVODA KOJI UTIČU NA POTROŠNJU ENERGIJE</w:t>
      </w:r>
    </w:p>
    <w:p w:rsidR="00B75930" w:rsidRPr="00B75930" w:rsidRDefault="00B75930" w:rsidP="00B75930">
      <w:pPr>
        <w:pStyle w:val="Heading2"/>
        <w:jc w:val="center"/>
      </w:pPr>
      <w:r w:rsidRPr="00B75930">
        <w:t>("Sl. glasnik RS", br. 21/2023 i 34/2023)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  <w:bookmarkStart w:id="1" w:name="_GoBack"/>
      <w:bookmarkEnd w:id="1"/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bliže se uređuju obaveze isporučioca proizvoda, i prodavca u pogledu energetskog označavanja proizvoda, koje se odnose na: sadržaj energetske oznake, njenog ispravnog postavljanja i tačnosti podataka na oznaci i druge uslove kojima se obezbeđuje primena zahteva energetskog označavanja za proizvode koji utiču na potrošnju energije.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ne primenjuje se na: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proizvode iz člana 1. ove uredbe koji se na tržištu prodaju kao polovna roba, osim ako su iz uvoza;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sredstva za prevoz ljudi ili robe.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Pojedini izrazi upotrebljeni u ovoj uredbi imaju sledeće značenje: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vrsta proizvoda predstavlja više proizvoda koji imaju istu glavnu funkcionalnost;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identifikaciona oznaka modela je šifra, obično </w:t>
      </w:r>
      <w:proofErr w:type="spellStart"/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>alfanumerička</w:t>
      </w:r>
      <w:proofErr w:type="spellEnd"/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po kojoj se određeni model razlikuje od drugih modela sa istim žigom ili istim nazivom isporučioca;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ekvivalentni model je model sa istim tehničkim karakteristikama relevantnim za energetsku oznaku i istom listom sa podacima, koji je isporučilac stavio na tržište kao drugi model sa različitom identifikacionom oznakom modela;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QR kod je matrični bar kod na energetskoj oznaci modela proizvoda koji pomoću softverske aplikacije služi kao link ka podacima o proizvodu: u bazi podataka Evropske unije za proizvode koji utiču na potrošnju energije i na koje se primenjuje energetsko označavanje; na internet stranici isporučioca;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daljinska trgovina je isticanje ponude i zaključenje ugovora za prodaju robe/usluge upotrebom jednog ili više sredstava komunikacije na daljinu;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tehnička dokumentacija je dokumentacija koja omogućava proveru tačnosti podataka koji se nalaze na energetskoj oznaci i u listi sa podacima; uključuje izveštaje o ispitivanju ili slične tehničke dokaze;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7) dozvoljeno odstupanje pri proveri je najveće dozvoljeno odstupanje u rezultatima merenja i proračuna pri proveri koju sprovodi organ tržišnog nadzora u odnosu na vrednosti deklarisanih ili objavljenih parametara, koje nastaje zbog merenja u različitim laboratorijama;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8) tehnički propis o energetskom označavanju (u daljem tekstu: tehnički propis) je propis kojim ministar nadležan za poslove energetike propisuje zahteve u pogledu energetskog označavanja za pojedine vrste proizvoda.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Drugi izrazi upotrebljeni u ovoj uredbi, koji nisu definisani u stavu 1. ovog člana, imaju značenje određeno zakonom kojim se uređuju energetska efikasnost i racionalna upotreba energije i zakonom kojim se uređuju tehnički zahtevi za proizvode i ocenjivanje usaglašenosti.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Isporučilac proizvoda je u obavezi da uz svaku pojedinačnu jedinicu proizvoda koji se stavlja na tržište ili pušta u rad priloži, bez naknade, tačnu štampanu energetsku oznaku, kao i listu sa podacima na srpskom jeziku, u skladu sa ovom uredbom i odgovarajućim tehničkim propisom.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uz proizvod koji se stavlja na tržište ili pušta u rad nisu priložene tačna štampana energetska oznaka i lista sa podacima na srpskom jeziku, isporučilac ima obavezu da štampanu energetsku oznaku i listu sa podacima dostavi prodavcu brzo i bez naknade, u roku ne dužem od pet radnih dana od dana prijema zahteva prodavca.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Izuzetno od st. 1. i 2. ovog člana, tehničkim propisom može biti određeno da se energetska oznaka štampa na pakovanju proizvoda.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Isporučilac proizvoda je dužan da obezbedi tačnost podataka na energetskoj oznaci i u listi sa podacima i da, na zahtev organa tržišnog nadzora, obezbedi dostupnost tehničke dokumentacije koju je za proizvod sačinio proizvođač.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Deo tehničke dokumentacije koji sadrži uputstvo za upotrebu mora biti na srpskom jeziku.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Nakon puštanja jedinice modela u rad, isporučilac mora zatražiti izričitu saglasnost kupca za svaku promenu koju namerava da unese u jedinicu putem ažuriranja softvera, koja pogoršava parametre energetske oznake navedene u odgovarajućem tehničkom propisu. Isporučilac mora da obavesti kupca o cilju ažuriranja i promeni parametara, kao i o promeni klase na energetskoj oznaci. Tokom perioda koji odgovara prosečnom životnom veku proizvoda isporučilac mora omogućiti kupcu da odbije ažuriranje a da se pritom, u meri u kojoj je to moguće, ne naruši funkcionalnost proizvoda.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Proizvođač, odnosno isporučilac proizvoda koji se stavlja na tržište Republike Srbije obezbeđuje da su očitavanjem QR koda koji se nalazi na energetskoj oznaci modela proizvoda jasno vidljivi najmanje sledeći podaci: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naziv ili žig, sedište i kontakt podaci proizvođača;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identifikaciona oznaka modela proizvoda;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3) lista sa podacima, koja je, u slučaju kada QR kod služi kao link ka podacima o proizvodu na internet stranici isporučioca, na srpskom jeziku;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energetska oznaka;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klasa energetske efikasnosti navedena na energetskoj oznaci.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Prodavac je u obavezi da za jedinice modela na koje se primenjuje odgovarajući tehnički propis, u skladu sa tim propisom: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na prodajnom mestu, kao i prilikom prodaje putem interneta, na vidljiv način prikaže energetsku oznaku koju mu je dostavio isporučilac;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kupcima na prodajnom mestu obezbedi listu sa podacima koju mu je dostavio isporučilac, u štampanom obliku i na srpskom jeziku;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kupcima koji kupuju putem interneta omogući pristup listi sa podacima u elektronskom obliku.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Prodavac koji uz proizvod nije dobio energetsku oznaku odnosno listu sa podacima u štampanom obliku, zahteva od isporučioca da mu ih dostavi u skladu sa članom 4. stav 2. ove uredbe.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Isporučilac i prodavac imaju obavezu: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da navedu klasu energetske efikasnosti proizvoda i raspon klasa energetske efikasnosti sa energetske oznake u vizuelnom oglasu ili u tehničkom promotivnom materijalu za određeni model proizvoda u skladu sa tehničkim propisom koji se odnosi na tu vrstu proizvoda, naročito u slučaju daljinske trgovine;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da bez odlaganja preduzimaju potrebne mere u cilju otklanjanja neusaglašenosti proizvoda sa zahtevima ove uredbe i odgovarajućeg tehničkog propisa, samoinicijativno ili na zahtev organa tržišnog nadzora, naročito u slučaju kada proizvod pri proveri prelazi dozvoljena odstupanja;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da na proizvode na koje se primenjuju tehnički propisi ne stavljaju i u vezi sa njima ne prikazuju druge oznake, znakove, simbole ili natpise koji nisu u skladu sa zahtevima ove uredbe i odgovarajućeg tehničkog propisa i koji bi doveli u zabludu ili zbunili kupca u pogledu potrošnje energije ili drugih resursa tokom upotrebe proizvoda;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da na proizvode koji utiču na potrošnju energije, za koje nije propisano energetsko označavanje, ne stavljaju i u vezi sa njima ne prikazuju oznake koje liče na energetske oznake propisane ovom uredbom i tehničkim propisima o energetskom označavanju;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da na proizvode koji ne utiču na potrošnju energije ne stavljaju i u vezi sa njima ne prikazuju oznake koje liče na energetske oznake koje su u skladu sa ovom uredbom i tehničkim propisima o energetskom označavanju.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8"/>
      <w:bookmarkEnd w:id="8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Ako postoji ekvivalentni model za određeni model proizvoda, proizvođač u tehničkoj dokumentaciji, odnosno u izveštaju o ispitivanju energetske efikasnosti, navodi sve modele na koje se taj izveštaj odnosi.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se utvrdi da određeni model proizvoda nije usaglašen sa zahtevima u pogledu energetskog označavanja, mere otklanjanja neusaglašenosti primenjuju se i na sve ekvivalentne modele tog modela proizvoda.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9"/>
      <w:bookmarkEnd w:id="9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Pretpostavlja se da proizvod ispunjava zahteve odgovarajućeg tehničkog propisa ako su prilikom ocenjivanja usaglašenosti primenjeni odgovarajući srpski standardi i/ili tehničke specifikacije sa spiska koji sastavlja ministar nadležan za poslove energetike u skladu sa zakonom kojim se uređuju energetska efikasnost i racionalna upotreba energije.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0" w:name="clan_10"/>
      <w:bookmarkEnd w:id="10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10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Proizvođači, odnosno isporučioci proizvoda iz člana 5. ove uredbe, na čijoj energetskoj oznaci modela proizvoda se nalazi QR kod koji u skladu sa članom 3. stav 1. tačka 4) ove uredbe služi kao link ka podacima o proizvodu na internet stranici isporučioca, dužni su da od 1. marta 2024. godine obezbede da su očitavanjem tog QR koda jasno vidljivi najmanje podaci propisani članom 5. ove uredbe.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1" w:name="clan_11"/>
      <w:bookmarkEnd w:id="11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11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Danom početka primene ove uredbe prestaje da važi Uredba o vrstama proizvoda koji utiču na potrošnju energije za koje je neophodno označavanje potrošnje energije i drugih resursa ("Službeni glasnik RS", br. 92/13, 80/16 i 41/21).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2" w:name="clan_12"/>
      <w:bookmarkEnd w:id="12"/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12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osmog dana od dana objavljivanja u "Službenom glasniku Republike Srbije", a primenjuje se od 1. maja 2023. godine.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> </w:t>
      </w:r>
    </w:p>
    <w:p w:rsidR="004D099D" w:rsidRPr="004D099D" w:rsidRDefault="004D099D" w:rsidP="004D09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t xml:space="preserve">Samostalni član Uredbe o izmeni </w:t>
      </w:r>
      <w:r w:rsidRPr="004D099D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sr-Latn-RS"/>
          <w14:ligatures w14:val="none"/>
        </w:rPr>
        <w:br/>
        <w:t xml:space="preserve">Uredbe o energetskom označavanju proizvoda koji utiču na potrošnju energije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i/>
          <w:iCs/>
          <w:kern w:val="0"/>
          <w:lang w:eastAsia="sr-Latn-RS"/>
          <w14:ligatures w14:val="none"/>
        </w:rPr>
        <w:t xml:space="preserve">("Sl. glasnik RS", br. 34/2023) </w:t>
      </w:r>
    </w:p>
    <w:p w:rsidR="004D099D" w:rsidRPr="004D099D" w:rsidRDefault="004D099D" w:rsidP="004D099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:rsidR="004D099D" w:rsidRPr="004D099D" w:rsidRDefault="004D099D" w:rsidP="004D099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4D099D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1. maja 2023. godine. </w:t>
      </w:r>
    </w:p>
    <w:p w:rsidR="004D099D" w:rsidRDefault="004D099D"/>
    <w:sectPr w:rsidR="004D09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9D"/>
    <w:rsid w:val="004D099D"/>
    <w:rsid w:val="00B75930"/>
    <w:rsid w:val="00E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D099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99D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4D099D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4D09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4D0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4D0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4D099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59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9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D099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99D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4D099D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4D099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samostalni">
    <w:name w:val="samostalni"/>
    <w:basedOn w:val="Normal"/>
    <w:rsid w:val="004D0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kern w:val="0"/>
      <w:sz w:val="24"/>
      <w:szCs w:val="24"/>
      <w:lang w:eastAsia="sr-Latn-RS"/>
      <w14:ligatures w14:val="none"/>
    </w:rPr>
  </w:style>
  <w:style w:type="paragraph" w:customStyle="1" w:styleId="samostalni1">
    <w:name w:val="samostalni1"/>
    <w:basedOn w:val="Normal"/>
    <w:rsid w:val="004D09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4D099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59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9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CIS</cp:lastModifiedBy>
  <cp:revision>3</cp:revision>
  <dcterms:created xsi:type="dcterms:W3CDTF">2023-05-04T13:28:00Z</dcterms:created>
  <dcterms:modified xsi:type="dcterms:W3CDTF">2023-05-12T11:29:00Z</dcterms:modified>
</cp:coreProperties>
</file>